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91E1" w14:textId="292E8F0C" w:rsidR="00CC5FE5" w:rsidRPr="00FD4A86" w:rsidRDefault="009652A5" w:rsidP="007672FD">
      <w:pPr>
        <w:spacing w:after="0" w:line="240" w:lineRule="auto"/>
        <w:rPr>
          <w:rFonts w:ascii="Open Sans" w:hAnsi="Open Sans" w:cs="Open Sans"/>
          <w:b/>
          <w:bCs/>
        </w:rPr>
      </w:pPr>
      <w:r w:rsidRPr="00FD4A86">
        <w:rPr>
          <w:rFonts w:ascii="Open Sans" w:hAnsi="Open Sans" w:cs="Open Sans"/>
          <w:noProof/>
        </w:rPr>
        <w:drawing>
          <wp:inline distT="0" distB="0" distL="0" distR="0" wp14:anchorId="6A4BCFDD" wp14:editId="7A3276A7">
            <wp:extent cx="2684678" cy="1181050"/>
            <wp:effectExtent l="0" t="0" r="0" b="0"/>
            <wp:docPr id="416563667"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63667" name="Image 1" descr="Une image contenant texte, capture d’écran, Police, conception&#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5414" cy="1203370"/>
                    </a:xfrm>
                    <a:prstGeom prst="rect">
                      <a:avLst/>
                    </a:prstGeom>
                  </pic:spPr>
                </pic:pic>
              </a:graphicData>
            </a:graphic>
          </wp:inline>
        </w:drawing>
      </w:r>
    </w:p>
    <w:p w14:paraId="563F545F" w14:textId="1AA84440" w:rsidR="009652A5" w:rsidRPr="00FD4A86" w:rsidRDefault="009652A5" w:rsidP="007672FD">
      <w:pPr>
        <w:spacing w:after="0" w:line="240" w:lineRule="auto"/>
        <w:ind w:left="4248" w:firstLine="708"/>
        <w:rPr>
          <w:rFonts w:ascii="Open Sans" w:hAnsi="Open Sans" w:cs="Open Sans"/>
          <w:b/>
          <w:bCs/>
          <w:color w:val="3B3838" w:themeColor="background2" w:themeShade="40"/>
        </w:rPr>
      </w:pPr>
    </w:p>
    <w:p w14:paraId="14AA0248" w14:textId="1178CC34" w:rsidR="00CF1FA4" w:rsidRPr="00FD4A86" w:rsidRDefault="00CF1FA4" w:rsidP="009808E4">
      <w:pPr>
        <w:spacing w:after="0" w:line="240" w:lineRule="auto"/>
        <w:rPr>
          <w:rFonts w:ascii="Open Sans" w:hAnsi="Open Sans" w:cs="Open Sans"/>
          <w:b/>
          <w:bCs/>
        </w:rPr>
      </w:pPr>
    </w:p>
    <w:p w14:paraId="6AC4AA55" w14:textId="54D5FF7F" w:rsidR="00461AF5" w:rsidRPr="00FD4A86" w:rsidRDefault="00461AF5" w:rsidP="007C22B7">
      <w:pPr>
        <w:spacing w:after="0" w:line="240" w:lineRule="auto"/>
        <w:jc w:val="right"/>
        <w:rPr>
          <w:rFonts w:ascii="Open Sans" w:hAnsi="Open Sans" w:cs="Open Sans"/>
          <w:b/>
          <w:bCs/>
          <w:color w:val="C00000"/>
        </w:rPr>
      </w:pPr>
    </w:p>
    <w:p w14:paraId="6D27D2DC" w14:textId="105C9364" w:rsidR="0005237B" w:rsidRPr="00FD4A86" w:rsidRDefault="003D2F40" w:rsidP="003C6EEE">
      <w:pPr>
        <w:spacing w:after="0" w:line="240" w:lineRule="auto"/>
        <w:jc w:val="center"/>
        <w:rPr>
          <w:rFonts w:ascii="Open Sans" w:hAnsi="Open Sans" w:cs="Open Sans"/>
          <w:b/>
          <w:bCs/>
          <w:color w:val="3B3838" w:themeColor="background2" w:themeShade="40"/>
        </w:rPr>
      </w:pPr>
      <w:r w:rsidRPr="00FD4A86">
        <w:rPr>
          <w:rFonts w:ascii="Open Sans" w:hAnsi="Open Sans" w:cs="Open Sans"/>
          <w:b/>
          <w:bCs/>
          <w:color w:val="3B3838" w:themeColor="background2" w:themeShade="40"/>
        </w:rPr>
        <w:t>AVIS D’</w:t>
      </w:r>
      <w:r w:rsidR="0005237B" w:rsidRPr="00FD4A86">
        <w:rPr>
          <w:rFonts w:ascii="Open Sans" w:hAnsi="Open Sans" w:cs="Open Sans"/>
          <w:b/>
          <w:bCs/>
          <w:color w:val="3B3838" w:themeColor="background2" w:themeShade="40"/>
        </w:rPr>
        <w:t>APPEL D’OFFRES</w:t>
      </w:r>
    </w:p>
    <w:p w14:paraId="096D9F38" w14:textId="7C0AED72" w:rsidR="0005237B" w:rsidRPr="00FD4A86" w:rsidRDefault="00FA0BA1" w:rsidP="003C6EEE">
      <w:pPr>
        <w:spacing w:after="0" w:line="240" w:lineRule="auto"/>
        <w:jc w:val="center"/>
        <w:rPr>
          <w:rFonts w:ascii="Open Sans" w:hAnsi="Open Sans" w:cs="Open Sans"/>
          <w:b/>
          <w:bCs/>
          <w:color w:val="3B3838" w:themeColor="background2" w:themeShade="40"/>
        </w:rPr>
      </w:pPr>
      <w:r w:rsidRPr="00FD4A86">
        <w:rPr>
          <w:rFonts w:ascii="Open Sans" w:hAnsi="Open Sans" w:cs="Open Sans"/>
          <w:b/>
          <w:bCs/>
          <w:color w:val="3B3838" w:themeColor="background2" w:themeShade="40"/>
        </w:rPr>
        <w:t>Auditeur externe pour un projet co-financé par l’Union Européenne</w:t>
      </w:r>
    </w:p>
    <w:p w14:paraId="7A376F4C" w14:textId="77777777" w:rsidR="00577175" w:rsidRPr="00FD4A86" w:rsidRDefault="00577175" w:rsidP="003C6EEE">
      <w:pPr>
        <w:spacing w:after="0" w:line="240" w:lineRule="auto"/>
        <w:jc w:val="center"/>
        <w:rPr>
          <w:rFonts w:ascii="Open Sans" w:hAnsi="Open Sans" w:cs="Open Sans"/>
          <w:b/>
          <w:bCs/>
          <w:lang w:val="en-US"/>
        </w:rPr>
      </w:pPr>
      <w:proofErr w:type="gramStart"/>
      <w:r w:rsidRPr="00FD4A86">
        <w:rPr>
          <w:rFonts w:ascii="Open Sans" w:hAnsi="Open Sans" w:cs="Open Sans"/>
          <w:b/>
          <w:bCs/>
          <w:color w:val="3B3838" w:themeColor="background2" w:themeShade="40"/>
          <w:lang w:val="en-US"/>
        </w:rPr>
        <w:t>Projet :</w:t>
      </w:r>
      <w:proofErr w:type="gramEnd"/>
      <w:r w:rsidRPr="00FD4A86">
        <w:rPr>
          <w:rFonts w:ascii="Open Sans" w:hAnsi="Open Sans" w:cs="Open Sans"/>
          <w:b/>
          <w:bCs/>
          <w:color w:val="3B3838" w:themeColor="background2" w:themeShade="40"/>
          <w:lang w:val="en-US"/>
        </w:rPr>
        <w:t xml:space="preserve"> « </w:t>
      </w:r>
      <w:r w:rsidRPr="00FD4A86">
        <w:rPr>
          <w:rFonts w:ascii="Open Sans" w:hAnsi="Open Sans" w:cs="Open Sans"/>
          <w:b/>
          <w:bCs/>
          <w:lang w:val="en-US"/>
        </w:rPr>
        <w:t xml:space="preserve">Enable, Upgrade and Spread Employability, Entrepreneurship and Digital Skills of the Eastern Mediterranean youth through dedicated university centers » </w:t>
      </w:r>
    </w:p>
    <w:p w14:paraId="03511346" w14:textId="43011AAE" w:rsidR="00577175" w:rsidRPr="00FD4A86" w:rsidRDefault="00577175" w:rsidP="003C6EEE">
      <w:pPr>
        <w:spacing w:after="0" w:line="240" w:lineRule="auto"/>
        <w:jc w:val="center"/>
        <w:rPr>
          <w:rStyle w:val="rynqvb"/>
          <w:rFonts w:ascii="Open Sans" w:hAnsi="Open Sans" w:cs="Open Sans"/>
          <w:b/>
          <w:bCs/>
        </w:rPr>
      </w:pPr>
      <w:r w:rsidRPr="00FD4A86">
        <w:rPr>
          <w:rStyle w:val="rynqvb"/>
          <w:rFonts w:ascii="Open Sans" w:hAnsi="Open Sans" w:cs="Open Sans"/>
          <w:b/>
          <w:bCs/>
        </w:rPr>
        <w:t>EUSEEDS_A_T_3.1_0172</w:t>
      </w:r>
    </w:p>
    <w:p w14:paraId="12F455F0" w14:textId="77777777" w:rsidR="00577175" w:rsidRPr="00FD4A86" w:rsidRDefault="00577175" w:rsidP="003C6EEE">
      <w:pPr>
        <w:spacing w:after="0" w:line="240" w:lineRule="auto"/>
        <w:jc w:val="center"/>
        <w:rPr>
          <w:rFonts w:ascii="Open Sans" w:hAnsi="Open Sans" w:cs="Open Sans"/>
          <w:b/>
          <w:bCs/>
          <w:color w:val="3B3838" w:themeColor="background2" w:themeShade="40"/>
        </w:rPr>
      </w:pPr>
    </w:p>
    <w:p w14:paraId="6BA7805C" w14:textId="29EC0C3D" w:rsidR="00577175" w:rsidRPr="00FD4A86" w:rsidRDefault="006A13B6" w:rsidP="00577175">
      <w:pPr>
        <w:spacing w:after="0" w:line="240" w:lineRule="auto"/>
        <w:jc w:val="center"/>
        <w:rPr>
          <w:rFonts w:ascii="Open Sans" w:hAnsi="Open Sans" w:cs="Open Sans"/>
          <w:b/>
          <w:bCs/>
          <w:color w:val="3B3838" w:themeColor="background2" w:themeShade="40"/>
        </w:rPr>
      </w:pPr>
      <w:r w:rsidRPr="00FD4A86">
        <w:rPr>
          <w:rFonts w:ascii="Open Sans" w:hAnsi="Open Sans" w:cs="Open Sans"/>
          <w:b/>
          <w:bCs/>
          <w:color w:val="3B3838" w:themeColor="background2" w:themeShade="40"/>
        </w:rPr>
        <w:t xml:space="preserve">Référence : </w:t>
      </w:r>
      <w:r w:rsidR="00986E68">
        <w:rPr>
          <w:rFonts w:ascii="Open Sans" w:hAnsi="Open Sans" w:cs="Open Sans"/>
          <w:b/>
          <w:bCs/>
          <w:color w:val="3B3838" w:themeColor="background2" w:themeShade="40"/>
        </w:rPr>
        <w:t>AUF</w:t>
      </w:r>
      <w:r w:rsidR="00986E68" w:rsidRPr="00FD4A86">
        <w:rPr>
          <w:rFonts w:ascii="Open Sans" w:hAnsi="Open Sans" w:cs="Open Sans"/>
          <w:b/>
          <w:bCs/>
          <w:color w:val="3B3838" w:themeColor="background2" w:themeShade="40"/>
        </w:rPr>
        <w:t>/</w:t>
      </w:r>
      <w:r w:rsidRPr="00FD4A86">
        <w:rPr>
          <w:rFonts w:ascii="Open Sans" w:hAnsi="Open Sans" w:cs="Open Sans"/>
          <w:b/>
          <w:bCs/>
          <w:color w:val="3B3838" w:themeColor="background2" w:themeShade="40"/>
        </w:rPr>
        <w:t>DRMO/</w:t>
      </w:r>
      <w:r w:rsidR="00986E68">
        <w:rPr>
          <w:rFonts w:ascii="Open Sans" w:hAnsi="Open Sans" w:cs="Open Sans"/>
          <w:b/>
          <w:bCs/>
          <w:color w:val="3B3838" w:themeColor="background2" w:themeShade="40"/>
        </w:rPr>
        <w:t>EUSEEDS</w:t>
      </w:r>
      <w:r w:rsidR="00986E68" w:rsidRPr="00FD4A86">
        <w:rPr>
          <w:rFonts w:ascii="Open Sans" w:hAnsi="Open Sans" w:cs="Open Sans"/>
          <w:b/>
          <w:bCs/>
          <w:color w:val="3B3838" w:themeColor="background2" w:themeShade="40"/>
        </w:rPr>
        <w:t>/</w:t>
      </w:r>
      <w:r w:rsidRPr="00FD4A86">
        <w:rPr>
          <w:rFonts w:ascii="Open Sans" w:hAnsi="Open Sans" w:cs="Open Sans"/>
          <w:b/>
          <w:bCs/>
          <w:color w:val="3B3838" w:themeColor="background2" w:themeShade="40"/>
        </w:rPr>
        <w:t>2025/0</w:t>
      </w:r>
      <w:r w:rsidR="004301B0">
        <w:rPr>
          <w:rFonts w:ascii="Open Sans" w:hAnsi="Open Sans" w:cs="Open Sans"/>
          <w:b/>
          <w:bCs/>
          <w:color w:val="3B3838" w:themeColor="background2" w:themeShade="40"/>
        </w:rPr>
        <w:t>2</w:t>
      </w:r>
    </w:p>
    <w:p w14:paraId="7FD954C9" w14:textId="77777777" w:rsidR="007F7F60" w:rsidRPr="00FD4A86" w:rsidRDefault="007F7F60" w:rsidP="006A13B6">
      <w:pPr>
        <w:spacing w:after="0" w:line="240" w:lineRule="auto"/>
        <w:rPr>
          <w:rFonts w:ascii="Open Sans" w:hAnsi="Open Sans" w:cs="Open Sans"/>
          <w:b/>
          <w:bCs/>
        </w:rPr>
      </w:pPr>
    </w:p>
    <w:p w14:paraId="28868A62" w14:textId="34CB2328" w:rsidR="007F7F60" w:rsidRPr="00FD4A86" w:rsidRDefault="007F7F60" w:rsidP="00FA0BA1">
      <w:pPr>
        <w:spacing w:after="0" w:line="240" w:lineRule="auto"/>
        <w:rPr>
          <w:rFonts w:ascii="Open Sans" w:hAnsi="Open Sans" w:cs="Open Sans"/>
          <w:b/>
          <w:bCs/>
          <w:color w:val="000000" w:themeColor="text1"/>
        </w:rPr>
      </w:pPr>
      <w:r w:rsidRPr="00FD4A86">
        <w:rPr>
          <w:rFonts w:ascii="Open Sans" w:hAnsi="Open Sans" w:cs="Open Sans"/>
          <w:b/>
          <w:bCs/>
          <w:color w:val="000000" w:themeColor="text1"/>
        </w:rPr>
        <w:t xml:space="preserve">Date de </w:t>
      </w:r>
      <w:r w:rsidR="00E1732B" w:rsidRPr="00FD4A86">
        <w:rPr>
          <w:rFonts w:ascii="Open Sans" w:hAnsi="Open Sans" w:cs="Open Sans"/>
          <w:b/>
          <w:bCs/>
          <w:color w:val="000000" w:themeColor="text1"/>
        </w:rPr>
        <w:t>p</w:t>
      </w:r>
      <w:r w:rsidRPr="00FD4A86">
        <w:rPr>
          <w:rFonts w:ascii="Open Sans" w:hAnsi="Open Sans" w:cs="Open Sans"/>
          <w:b/>
          <w:bCs/>
          <w:color w:val="000000" w:themeColor="text1"/>
        </w:rPr>
        <w:t>ublication :</w:t>
      </w:r>
      <w:r w:rsidR="00211CD7" w:rsidRPr="00FD4A86">
        <w:rPr>
          <w:rFonts w:ascii="Open Sans" w:hAnsi="Open Sans" w:cs="Open Sans"/>
          <w:b/>
          <w:bCs/>
          <w:color w:val="000000" w:themeColor="text1"/>
        </w:rPr>
        <w:t xml:space="preserve"> </w:t>
      </w:r>
      <w:r w:rsidR="00FA0BA1" w:rsidRPr="00FD4A86">
        <w:rPr>
          <w:rFonts w:ascii="Open Sans" w:hAnsi="Open Sans" w:cs="Open Sans"/>
          <w:b/>
          <w:bCs/>
          <w:color w:val="000000" w:themeColor="text1"/>
        </w:rPr>
        <w:t>8 décembre</w:t>
      </w:r>
      <w:r w:rsidR="007D5ED3" w:rsidRPr="00FD4A86">
        <w:rPr>
          <w:rFonts w:ascii="Open Sans" w:hAnsi="Open Sans" w:cs="Open Sans"/>
          <w:b/>
          <w:bCs/>
          <w:color w:val="000000" w:themeColor="text1"/>
        </w:rPr>
        <w:t xml:space="preserve"> </w:t>
      </w:r>
      <w:r w:rsidR="004F02A4" w:rsidRPr="00FD4A86">
        <w:rPr>
          <w:rFonts w:ascii="Open Sans" w:hAnsi="Open Sans" w:cs="Open Sans"/>
          <w:b/>
          <w:bCs/>
          <w:color w:val="000000" w:themeColor="text1"/>
        </w:rPr>
        <w:t>2025</w:t>
      </w:r>
    </w:p>
    <w:p w14:paraId="21B490DE" w14:textId="4A1E5984" w:rsidR="007F7F60" w:rsidRPr="00FD4A86" w:rsidRDefault="007F7F60" w:rsidP="006A13B6">
      <w:pPr>
        <w:spacing w:after="0" w:line="240" w:lineRule="auto"/>
        <w:rPr>
          <w:rFonts w:ascii="Open Sans" w:hAnsi="Open Sans" w:cs="Open Sans"/>
          <w:b/>
          <w:bCs/>
          <w:color w:val="000000" w:themeColor="text1"/>
        </w:rPr>
      </w:pPr>
      <w:r w:rsidRPr="00FD4A86">
        <w:rPr>
          <w:rFonts w:ascii="Open Sans" w:hAnsi="Open Sans" w:cs="Open Sans"/>
          <w:b/>
          <w:bCs/>
          <w:color w:val="000000" w:themeColor="text1"/>
        </w:rPr>
        <w:t xml:space="preserve">Date limite de soumission : </w:t>
      </w:r>
      <w:r w:rsidR="00FD4A86" w:rsidRPr="00FD4A86">
        <w:rPr>
          <w:rFonts w:ascii="Open Sans" w:hAnsi="Open Sans" w:cs="Open Sans"/>
          <w:b/>
          <w:bCs/>
          <w:color w:val="000000" w:themeColor="text1"/>
        </w:rPr>
        <w:t>9</w:t>
      </w:r>
      <w:r w:rsidR="00F0052A" w:rsidRPr="00FD4A86">
        <w:rPr>
          <w:rFonts w:ascii="Open Sans" w:hAnsi="Open Sans" w:cs="Open Sans"/>
          <w:b/>
          <w:bCs/>
          <w:color w:val="000000" w:themeColor="text1"/>
        </w:rPr>
        <w:t xml:space="preserve"> </w:t>
      </w:r>
      <w:r w:rsidR="004D6D44" w:rsidRPr="00FD4A86">
        <w:rPr>
          <w:rFonts w:ascii="Open Sans" w:hAnsi="Open Sans" w:cs="Open Sans"/>
          <w:b/>
          <w:bCs/>
          <w:color w:val="000000" w:themeColor="text1"/>
        </w:rPr>
        <w:t>janvier</w:t>
      </w:r>
      <w:r w:rsidR="00F0052A" w:rsidRPr="00FD4A86">
        <w:rPr>
          <w:rFonts w:ascii="Open Sans" w:hAnsi="Open Sans" w:cs="Open Sans"/>
          <w:b/>
          <w:bCs/>
          <w:color w:val="000000" w:themeColor="text1"/>
        </w:rPr>
        <w:t xml:space="preserve"> 202</w:t>
      </w:r>
      <w:r w:rsidR="004D6D44" w:rsidRPr="00FD4A86">
        <w:rPr>
          <w:rFonts w:ascii="Open Sans" w:hAnsi="Open Sans" w:cs="Open Sans"/>
          <w:b/>
          <w:bCs/>
          <w:color w:val="000000" w:themeColor="text1"/>
        </w:rPr>
        <w:t>6</w:t>
      </w:r>
    </w:p>
    <w:p w14:paraId="479812D4" w14:textId="77777777" w:rsidR="00FA0BA1" w:rsidRPr="00FD4A86" w:rsidRDefault="00FA0BA1" w:rsidP="006A13B6">
      <w:pPr>
        <w:spacing w:after="0" w:line="240" w:lineRule="auto"/>
        <w:rPr>
          <w:rFonts w:ascii="Open Sans" w:hAnsi="Open Sans" w:cs="Open Sans"/>
          <w:b/>
          <w:bCs/>
          <w:color w:val="000000" w:themeColor="text1"/>
        </w:rPr>
      </w:pPr>
    </w:p>
    <w:p w14:paraId="7AE6D88F" w14:textId="3FC98AA0" w:rsidR="00DF5071" w:rsidRPr="00AA25B4" w:rsidRDefault="00F30737" w:rsidP="00B362F9">
      <w:pPr>
        <w:spacing w:after="0" w:line="240" w:lineRule="auto"/>
        <w:jc w:val="both"/>
        <w:rPr>
          <w:rFonts w:ascii="Open Sans" w:hAnsi="Open Sans" w:cs="Open Sans"/>
          <w:color w:val="000000" w:themeColor="text1"/>
        </w:rPr>
      </w:pPr>
      <w:r w:rsidRPr="00FD4A86">
        <w:rPr>
          <w:rFonts w:ascii="Open Sans" w:hAnsi="Open Sans" w:cs="Open Sans"/>
        </w:rPr>
        <w:t xml:space="preserve">L’objet de cet appel d’offres est de </w:t>
      </w:r>
      <w:r w:rsidR="00625AF2" w:rsidRPr="00FD4A86">
        <w:rPr>
          <w:rFonts w:ascii="Open Sans" w:hAnsi="Open Sans" w:cs="Open Sans"/>
        </w:rPr>
        <w:t>sélectionner un auditeur financier externe chargé d’auditer l</w:t>
      </w:r>
      <w:r w:rsidRPr="00FD4A86">
        <w:rPr>
          <w:rFonts w:ascii="Open Sans" w:hAnsi="Open Sans" w:cs="Open Sans"/>
        </w:rPr>
        <w:t xml:space="preserve">’ensemble des </w:t>
      </w:r>
      <w:r w:rsidRPr="00AA25B4">
        <w:rPr>
          <w:rFonts w:ascii="Open Sans" w:hAnsi="Open Sans" w:cs="Open Sans"/>
          <w:color w:val="000000" w:themeColor="text1"/>
        </w:rPr>
        <w:t xml:space="preserve">dépenses effectuées par l’Agence </w:t>
      </w:r>
      <w:r w:rsidR="00212577">
        <w:rPr>
          <w:rFonts w:ascii="Open Sans" w:hAnsi="Open Sans" w:cs="Open Sans"/>
          <w:color w:val="000000" w:themeColor="text1"/>
        </w:rPr>
        <w:t>U</w:t>
      </w:r>
      <w:r w:rsidR="00212577" w:rsidRPr="00AA25B4">
        <w:rPr>
          <w:rFonts w:ascii="Open Sans" w:hAnsi="Open Sans" w:cs="Open Sans"/>
          <w:color w:val="000000" w:themeColor="text1"/>
        </w:rPr>
        <w:t xml:space="preserve">niversitaire </w:t>
      </w:r>
      <w:r w:rsidRPr="00AA25B4">
        <w:rPr>
          <w:rFonts w:ascii="Open Sans" w:hAnsi="Open Sans" w:cs="Open Sans"/>
          <w:color w:val="000000" w:themeColor="text1"/>
        </w:rPr>
        <w:t>de la Francophonie (AUF)</w:t>
      </w:r>
      <w:r w:rsidR="000B4F9B" w:rsidRPr="00AA25B4">
        <w:rPr>
          <w:rFonts w:ascii="Open Sans" w:hAnsi="Open Sans" w:cs="Open Sans"/>
          <w:color w:val="000000" w:themeColor="text1"/>
        </w:rPr>
        <w:t>, Direction régionale</w:t>
      </w:r>
      <w:r w:rsidRPr="00AA25B4">
        <w:rPr>
          <w:rFonts w:ascii="Open Sans" w:hAnsi="Open Sans" w:cs="Open Sans"/>
          <w:color w:val="000000" w:themeColor="text1"/>
        </w:rPr>
        <w:t xml:space="preserve"> Moyen-Orient </w:t>
      </w:r>
      <w:r w:rsidR="00EF52E8" w:rsidRPr="00AA25B4">
        <w:rPr>
          <w:rFonts w:ascii="Open Sans" w:hAnsi="Open Sans" w:cs="Open Sans"/>
          <w:color w:val="000000" w:themeColor="text1"/>
        </w:rPr>
        <w:t xml:space="preserve">(Beyrouth, Liban) </w:t>
      </w:r>
      <w:r w:rsidRPr="00AA25B4">
        <w:rPr>
          <w:rFonts w:ascii="Open Sans" w:hAnsi="Open Sans" w:cs="Open Sans"/>
          <w:color w:val="000000" w:themeColor="text1"/>
        </w:rPr>
        <w:t xml:space="preserve">et Forward Digital Mena </w:t>
      </w:r>
      <w:r w:rsidR="00EF52E8" w:rsidRPr="00AA25B4">
        <w:rPr>
          <w:rFonts w:ascii="Open Sans" w:hAnsi="Open Sans" w:cs="Open Sans"/>
          <w:color w:val="000000" w:themeColor="text1"/>
        </w:rPr>
        <w:t xml:space="preserve">(Beyrouth, Liban) </w:t>
      </w:r>
      <w:r w:rsidR="00577175" w:rsidRPr="00AA25B4">
        <w:rPr>
          <w:rFonts w:ascii="Open Sans" w:hAnsi="Open Sans" w:cs="Open Sans"/>
          <w:color w:val="000000" w:themeColor="text1"/>
        </w:rPr>
        <w:t xml:space="preserve">dans le cadre de la mise en œuvre du projet </w:t>
      </w:r>
      <w:r w:rsidR="00625AF2" w:rsidRPr="00AA25B4">
        <w:rPr>
          <w:rFonts w:ascii="Open Sans" w:hAnsi="Open Sans" w:cs="Open Sans"/>
          <w:color w:val="000000" w:themeColor="text1"/>
        </w:rPr>
        <w:t xml:space="preserve">« </w:t>
      </w:r>
      <w:r w:rsidR="00577175" w:rsidRPr="00AA25B4">
        <w:rPr>
          <w:rFonts w:ascii="Open Sans" w:hAnsi="Open Sans" w:cs="Open Sans"/>
          <w:color w:val="000000" w:themeColor="text1"/>
        </w:rPr>
        <w:t>EUSEEDS_A_T_3.1_0172 »</w:t>
      </w:r>
      <w:r w:rsidR="00625AF2" w:rsidRPr="00AA25B4">
        <w:rPr>
          <w:rFonts w:ascii="Open Sans" w:hAnsi="Open Sans" w:cs="Open Sans"/>
          <w:color w:val="000000" w:themeColor="text1"/>
        </w:rPr>
        <w:t>, co-financ</w:t>
      </w:r>
      <w:r w:rsidR="00577175" w:rsidRPr="00AA25B4">
        <w:rPr>
          <w:rFonts w:ascii="Open Sans" w:hAnsi="Open Sans" w:cs="Open Sans"/>
          <w:color w:val="000000" w:themeColor="text1"/>
        </w:rPr>
        <w:t>é</w:t>
      </w:r>
      <w:r w:rsidR="00625AF2" w:rsidRPr="00AA25B4">
        <w:rPr>
          <w:rFonts w:ascii="Open Sans" w:hAnsi="Open Sans" w:cs="Open Sans"/>
          <w:color w:val="000000" w:themeColor="text1"/>
        </w:rPr>
        <w:t xml:space="preserve"> par l’Union européenne dans le cadre du programme Interreg NEXT MED. </w:t>
      </w:r>
    </w:p>
    <w:p w14:paraId="6193955C" w14:textId="05DB329A" w:rsidR="0005237B" w:rsidRPr="00FD4A86" w:rsidRDefault="00625AF2" w:rsidP="00B362F9">
      <w:pPr>
        <w:spacing w:after="0" w:line="240" w:lineRule="auto"/>
        <w:jc w:val="both"/>
        <w:rPr>
          <w:rFonts w:ascii="Open Sans" w:hAnsi="Open Sans" w:cs="Open Sans"/>
        </w:rPr>
      </w:pPr>
      <w:r w:rsidRPr="00AA25B4">
        <w:rPr>
          <w:rFonts w:ascii="Open Sans" w:hAnsi="Open Sans" w:cs="Open Sans"/>
          <w:color w:val="000000" w:themeColor="text1"/>
        </w:rPr>
        <w:t xml:space="preserve">L’audit sera réalisé par un organisme ou un expert indépendant officiellement habilité </w:t>
      </w:r>
      <w:r w:rsidR="000B4F9B" w:rsidRPr="00AA25B4">
        <w:rPr>
          <w:rFonts w:ascii="Open Sans" w:hAnsi="Open Sans" w:cs="Open Sans"/>
          <w:color w:val="000000" w:themeColor="text1"/>
        </w:rPr>
        <w:t xml:space="preserve">au Liban </w:t>
      </w:r>
      <w:r w:rsidRPr="00AA25B4">
        <w:rPr>
          <w:rFonts w:ascii="Open Sans" w:hAnsi="Open Sans" w:cs="Open Sans"/>
          <w:color w:val="000000" w:themeColor="text1"/>
        </w:rPr>
        <w:t xml:space="preserve">à effectuer des contrôles comptables. L’AUF </w:t>
      </w:r>
      <w:r w:rsidR="00DF5071" w:rsidRPr="00AA25B4">
        <w:rPr>
          <w:rFonts w:ascii="Open Sans" w:hAnsi="Open Sans" w:cs="Open Sans"/>
          <w:color w:val="000000" w:themeColor="text1"/>
        </w:rPr>
        <w:t>et Forwa</w:t>
      </w:r>
      <w:r w:rsidR="002F06CD" w:rsidRPr="00AA25B4">
        <w:rPr>
          <w:rFonts w:ascii="Open Sans" w:hAnsi="Open Sans" w:cs="Open Sans"/>
          <w:color w:val="000000" w:themeColor="text1"/>
        </w:rPr>
        <w:t>r</w:t>
      </w:r>
      <w:r w:rsidR="00DF5071" w:rsidRPr="00AA25B4">
        <w:rPr>
          <w:rFonts w:ascii="Open Sans" w:hAnsi="Open Sans" w:cs="Open Sans"/>
          <w:color w:val="000000" w:themeColor="text1"/>
        </w:rPr>
        <w:t xml:space="preserve">d Digital Mena </w:t>
      </w:r>
      <w:r w:rsidRPr="00AA25B4">
        <w:rPr>
          <w:rFonts w:ascii="Open Sans" w:hAnsi="Open Sans" w:cs="Open Sans"/>
          <w:color w:val="000000" w:themeColor="text1"/>
        </w:rPr>
        <w:t>fournir</w:t>
      </w:r>
      <w:r w:rsidR="00DF5071" w:rsidRPr="00AA25B4">
        <w:rPr>
          <w:rFonts w:ascii="Open Sans" w:hAnsi="Open Sans" w:cs="Open Sans"/>
          <w:color w:val="000000" w:themeColor="text1"/>
        </w:rPr>
        <w:t>ont</w:t>
      </w:r>
      <w:r w:rsidRPr="00AA25B4">
        <w:rPr>
          <w:rFonts w:ascii="Open Sans" w:hAnsi="Open Sans" w:cs="Open Sans"/>
          <w:color w:val="000000" w:themeColor="text1"/>
        </w:rPr>
        <w:t xml:space="preserve"> aux auditeurs externes un accès </w:t>
      </w:r>
      <w:r w:rsidRPr="00FD4A86">
        <w:rPr>
          <w:rFonts w:ascii="Open Sans" w:hAnsi="Open Sans" w:cs="Open Sans"/>
        </w:rPr>
        <w:t xml:space="preserve">complet à </w:t>
      </w:r>
      <w:r w:rsidR="00DF5071" w:rsidRPr="00FD4A86">
        <w:rPr>
          <w:rFonts w:ascii="Open Sans" w:hAnsi="Open Sans" w:cs="Open Sans"/>
        </w:rPr>
        <w:t>leurs</w:t>
      </w:r>
      <w:r w:rsidRPr="00FD4A86">
        <w:rPr>
          <w:rFonts w:ascii="Open Sans" w:hAnsi="Open Sans" w:cs="Open Sans"/>
        </w:rPr>
        <w:t xml:space="preserve"> locaux ainsi qu’à l’ensemble des documents nécessaires.</w:t>
      </w:r>
    </w:p>
    <w:p w14:paraId="6EA22321" w14:textId="4728B87F" w:rsidR="00577175" w:rsidRPr="00FD4A86" w:rsidRDefault="00577175" w:rsidP="00577175">
      <w:pPr>
        <w:spacing w:after="0" w:line="240" w:lineRule="auto"/>
        <w:jc w:val="both"/>
        <w:rPr>
          <w:rFonts w:ascii="Open Sans" w:hAnsi="Open Sans" w:cs="Open Sans"/>
        </w:rPr>
      </w:pPr>
      <w:r w:rsidRPr="00FD4A86">
        <w:rPr>
          <w:rFonts w:ascii="Open Sans" w:hAnsi="Open Sans" w:cs="Open Sans"/>
        </w:rPr>
        <w:t>Les services d’audit seront assurés durant l’ensemble de la période d’exécution du projet EUSEEDS_A_T_3.1_0172 et ce, jusqu’à la clôture de la période de mise en œuvre du projet.</w:t>
      </w:r>
    </w:p>
    <w:p w14:paraId="552561A2" w14:textId="16C60E8B" w:rsidR="00577175" w:rsidRPr="00FD4A86" w:rsidRDefault="00577175" w:rsidP="00577175">
      <w:pPr>
        <w:spacing w:after="0" w:line="240" w:lineRule="auto"/>
        <w:jc w:val="both"/>
        <w:rPr>
          <w:rFonts w:ascii="Open Sans" w:hAnsi="Open Sans" w:cs="Open Sans"/>
        </w:rPr>
      </w:pPr>
      <w:r w:rsidRPr="00FD4A86">
        <w:rPr>
          <w:rFonts w:ascii="Open Sans" w:hAnsi="Open Sans" w:cs="Open Sans"/>
        </w:rPr>
        <w:t>L’auditeur devra réaliser les tâches qui lui sont confiées conformément aux procédures de mise en œuvre établies par le Programme</w:t>
      </w:r>
      <w:r w:rsidR="00C05A78" w:rsidRPr="00FD4A86">
        <w:rPr>
          <w:rFonts w:ascii="Open Sans" w:hAnsi="Open Sans" w:cs="Open Sans"/>
        </w:rPr>
        <w:t xml:space="preserve"> Interreg NEXT MED</w:t>
      </w:r>
      <w:r w:rsidRPr="00FD4A86">
        <w:rPr>
          <w:rFonts w:ascii="Open Sans" w:hAnsi="Open Sans" w:cs="Open Sans"/>
        </w:rPr>
        <w:t>.</w:t>
      </w:r>
    </w:p>
    <w:p w14:paraId="7794F23D" w14:textId="77777777" w:rsidR="00F5627F" w:rsidRPr="00FD4A86" w:rsidRDefault="00F5627F" w:rsidP="00B362F9">
      <w:pPr>
        <w:spacing w:after="0" w:line="240" w:lineRule="auto"/>
        <w:jc w:val="both"/>
        <w:rPr>
          <w:rFonts w:ascii="Open Sans" w:hAnsi="Open Sans" w:cs="Open Sans"/>
        </w:rPr>
      </w:pPr>
    </w:p>
    <w:p w14:paraId="13AACD33" w14:textId="514FBE05" w:rsidR="00202CB1" w:rsidRPr="00FD4A86" w:rsidRDefault="00202CB1" w:rsidP="007C22B7">
      <w:pPr>
        <w:pStyle w:val="Paragraphedeliste"/>
        <w:numPr>
          <w:ilvl w:val="0"/>
          <w:numId w:val="5"/>
        </w:numPr>
        <w:jc w:val="both"/>
        <w:rPr>
          <w:rFonts w:ascii="Open Sans" w:hAnsi="Open Sans" w:cs="Open Sans"/>
          <w:b/>
        </w:rPr>
      </w:pPr>
      <w:r w:rsidRPr="00FD4A86">
        <w:rPr>
          <w:rFonts w:ascii="Open Sans" w:hAnsi="Open Sans" w:cs="Open Sans"/>
          <w:b/>
        </w:rPr>
        <w:t>A propos du projet EUSEEDS</w:t>
      </w:r>
    </w:p>
    <w:p w14:paraId="2506EB2C" w14:textId="70722AF3" w:rsidR="00C05A78" w:rsidRPr="00AA25B4" w:rsidRDefault="00C05A78" w:rsidP="00F6636F">
      <w:pPr>
        <w:spacing w:after="0" w:line="240" w:lineRule="auto"/>
        <w:jc w:val="both"/>
        <w:rPr>
          <w:rFonts w:ascii="Open Sans" w:hAnsi="Open Sans" w:cs="Open Sans"/>
          <w:color w:val="000000" w:themeColor="text1"/>
          <w:shd w:val="clear" w:color="auto" w:fill="FFFFFF"/>
        </w:rPr>
      </w:pPr>
      <w:r w:rsidRPr="00FD4A86">
        <w:rPr>
          <w:rFonts w:ascii="Open Sans" w:hAnsi="Open Sans" w:cs="Open Sans"/>
          <w:color w:val="1C1C1C"/>
          <w:shd w:val="clear" w:color="auto" w:fill="FFFFFF"/>
        </w:rPr>
        <w:t xml:space="preserve">Le projet </w:t>
      </w:r>
      <w:r w:rsidR="00202CB1" w:rsidRPr="00FD4A86">
        <w:rPr>
          <w:rFonts w:ascii="Open Sans" w:hAnsi="Open Sans" w:cs="Open Sans"/>
          <w:color w:val="1C1C1C"/>
          <w:shd w:val="clear" w:color="auto" w:fill="FFFFFF"/>
        </w:rPr>
        <w:t xml:space="preserve">EUSEEDS </w:t>
      </w:r>
      <w:r w:rsidRPr="00FD4A86">
        <w:rPr>
          <w:rFonts w:ascii="Open Sans" w:hAnsi="Open Sans" w:cs="Open Sans"/>
          <w:color w:val="1C1C1C"/>
          <w:shd w:val="clear" w:color="auto" w:fill="FFFFFF"/>
        </w:rPr>
        <w:t xml:space="preserve">a été sélectionné pour co-financement à hauteur de 2 499 564,20 </w:t>
      </w:r>
      <w:r w:rsidR="004D50B9" w:rsidRPr="00AA25B4">
        <w:rPr>
          <w:rFonts w:ascii="Open Sans" w:hAnsi="Open Sans" w:cs="Open Sans"/>
          <w:color w:val="000000" w:themeColor="text1"/>
          <w:shd w:val="clear" w:color="auto" w:fill="FFFFFF"/>
        </w:rPr>
        <w:t>euros</w:t>
      </w:r>
      <w:r w:rsidRPr="00AA25B4">
        <w:rPr>
          <w:rFonts w:ascii="Open Sans" w:hAnsi="Open Sans" w:cs="Open Sans"/>
          <w:color w:val="000000" w:themeColor="text1"/>
          <w:shd w:val="clear" w:color="auto" w:fill="FFFFFF"/>
        </w:rPr>
        <w:t xml:space="preserve"> (89%) par l’Union Européenne</w:t>
      </w:r>
      <w:r w:rsidR="00BB565E" w:rsidRPr="00AA25B4">
        <w:rPr>
          <w:rFonts w:ascii="Open Sans" w:hAnsi="Open Sans" w:cs="Open Sans"/>
          <w:color w:val="000000" w:themeColor="text1"/>
          <w:shd w:val="clear" w:color="auto" w:fill="FFFFFF"/>
        </w:rPr>
        <w:t xml:space="preserve"> dans le cadre du Programme Interreg NEXT MED.</w:t>
      </w:r>
      <w:r w:rsidR="00C54217" w:rsidRPr="00AA25B4">
        <w:rPr>
          <w:rFonts w:ascii="Open Sans" w:hAnsi="Open Sans" w:cs="Open Sans"/>
          <w:color w:val="000000" w:themeColor="text1"/>
          <w:shd w:val="clear" w:color="auto" w:fill="FFFFFF"/>
        </w:rPr>
        <w:t xml:space="preserve"> Le budget total du projet, incluant le co-financement des partenaires, est de </w:t>
      </w:r>
      <w:r w:rsidR="0073480F" w:rsidRPr="00AA25B4">
        <w:rPr>
          <w:rFonts w:ascii="Open Sans" w:hAnsi="Open Sans" w:cs="Open Sans"/>
          <w:color w:val="000000" w:themeColor="text1"/>
          <w:shd w:val="clear" w:color="auto" w:fill="FFFFFF"/>
        </w:rPr>
        <w:t>2 808</w:t>
      </w:r>
      <w:r w:rsidR="00FE276C" w:rsidRPr="00AA25B4">
        <w:rPr>
          <w:rFonts w:ascii="Open Sans" w:hAnsi="Open Sans" w:cs="Open Sans"/>
          <w:color w:val="000000" w:themeColor="text1"/>
          <w:shd w:val="clear" w:color="auto" w:fill="FFFFFF"/>
        </w:rPr>
        <w:t> </w:t>
      </w:r>
      <w:r w:rsidR="0073480F" w:rsidRPr="00AA25B4">
        <w:rPr>
          <w:rFonts w:ascii="Open Sans" w:hAnsi="Open Sans" w:cs="Open Sans"/>
          <w:color w:val="000000" w:themeColor="text1"/>
          <w:shd w:val="clear" w:color="auto" w:fill="FFFFFF"/>
        </w:rPr>
        <w:t>499</w:t>
      </w:r>
      <w:r w:rsidR="00FE276C" w:rsidRPr="00AA25B4">
        <w:rPr>
          <w:rFonts w:ascii="Open Sans" w:hAnsi="Open Sans" w:cs="Open Sans"/>
          <w:color w:val="000000" w:themeColor="text1"/>
          <w:shd w:val="clear" w:color="auto" w:fill="FFFFFF"/>
        </w:rPr>
        <w:t>,</w:t>
      </w:r>
      <w:r w:rsidR="0073480F" w:rsidRPr="00AA25B4">
        <w:rPr>
          <w:rFonts w:ascii="Open Sans" w:hAnsi="Open Sans" w:cs="Open Sans"/>
          <w:color w:val="000000" w:themeColor="text1"/>
          <w:shd w:val="clear" w:color="auto" w:fill="FFFFFF"/>
        </w:rPr>
        <w:t>1</w:t>
      </w:r>
      <w:r w:rsidR="00FE276C" w:rsidRPr="00AA25B4">
        <w:rPr>
          <w:rFonts w:ascii="Open Sans" w:hAnsi="Open Sans" w:cs="Open Sans"/>
          <w:color w:val="000000" w:themeColor="text1"/>
          <w:shd w:val="clear" w:color="auto" w:fill="FFFFFF"/>
        </w:rPr>
        <w:t>0</w:t>
      </w:r>
      <w:r w:rsidR="0073480F" w:rsidRPr="00AA25B4">
        <w:rPr>
          <w:rFonts w:ascii="Open Sans" w:hAnsi="Open Sans" w:cs="Open Sans"/>
          <w:color w:val="000000" w:themeColor="text1"/>
          <w:shd w:val="clear" w:color="auto" w:fill="FFFFFF"/>
        </w:rPr>
        <w:t xml:space="preserve"> euros.</w:t>
      </w:r>
    </w:p>
    <w:p w14:paraId="1578BEFE" w14:textId="77777777" w:rsidR="00C05A78" w:rsidRPr="00AA25B4" w:rsidRDefault="00C05A78" w:rsidP="00C05A78">
      <w:pPr>
        <w:spacing w:after="0" w:line="240" w:lineRule="auto"/>
        <w:rPr>
          <w:rFonts w:ascii="Open Sans" w:hAnsi="Open Sans" w:cs="Open Sans"/>
          <w:color w:val="000000" w:themeColor="text1"/>
          <w:shd w:val="clear" w:color="auto" w:fill="FFFFFF"/>
        </w:rPr>
      </w:pPr>
    </w:p>
    <w:p w14:paraId="09FF81DF" w14:textId="61B72D9D" w:rsidR="00202CB1" w:rsidRPr="00FD4A86" w:rsidRDefault="00BB565E" w:rsidP="00202CB1">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Le projet</w:t>
      </w:r>
      <w:r w:rsidR="00202CB1" w:rsidRPr="00FD4A86">
        <w:rPr>
          <w:rFonts w:ascii="Open Sans" w:hAnsi="Open Sans" w:cs="Open Sans"/>
          <w:color w:val="1C1C1C"/>
          <w:shd w:val="clear" w:color="auto" w:fill="FFFFFF"/>
        </w:rPr>
        <w:t xml:space="preserve"> se déploie dans 5 pays est-méditerranéens pour développer l’employabilité et les compétences numériques de la jeunesse. </w:t>
      </w:r>
    </w:p>
    <w:p w14:paraId="7A413264" w14:textId="77777777" w:rsidR="0035557B" w:rsidRPr="00FD4A86" w:rsidRDefault="0035557B" w:rsidP="00202CB1">
      <w:pPr>
        <w:spacing w:after="0" w:line="240" w:lineRule="auto"/>
        <w:jc w:val="both"/>
        <w:rPr>
          <w:rFonts w:ascii="Open Sans" w:hAnsi="Open Sans" w:cs="Open Sans"/>
          <w:color w:val="1C1C1C"/>
          <w:shd w:val="clear" w:color="auto" w:fill="FFFFFF"/>
        </w:rPr>
      </w:pPr>
    </w:p>
    <w:p w14:paraId="50E54231" w14:textId="77777777" w:rsidR="00202CB1" w:rsidRPr="00FD4A86" w:rsidRDefault="00202CB1" w:rsidP="00202CB1">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lastRenderedPageBreak/>
        <w:t>Le projet prévoit la mise en place (création ou revitalisation) de 20 centres universitaires dans cinq pays (Chypre, Égypte, Jordanie, Liban et Palestine), afin de renforcer l’insertion professionnelle et les compétences digitales de la jeunesse.</w:t>
      </w:r>
    </w:p>
    <w:p w14:paraId="3186F2A3" w14:textId="77777777" w:rsidR="00202CB1" w:rsidRPr="00FD4A86" w:rsidRDefault="00202CB1" w:rsidP="00202CB1">
      <w:pPr>
        <w:spacing w:after="0" w:line="240" w:lineRule="auto"/>
        <w:jc w:val="both"/>
        <w:rPr>
          <w:rFonts w:ascii="Open Sans" w:hAnsi="Open Sans" w:cs="Open Sans"/>
          <w:color w:val="1C1C1C"/>
          <w:shd w:val="clear" w:color="auto" w:fill="FFFFFF"/>
        </w:rPr>
      </w:pPr>
    </w:p>
    <w:p w14:paraId="21171BED" w14:textId="77777777" w:rsidR="00202CB1" w:rsidRPr="00FD4A86" w:rsidRDefault="00202CB1" w:rsidP="00202CB1">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Ces centres, implantés dans des </w:t>
      </w:r>
      <w:proofErr w:type="gramStart"/>
      <w:r w:rsidRPr="00FD4A86">
        <w:rPr>
          <w:rFonts w:ascii="Open Sans" w:hAnsi="Open Sans" w:cs="Open Sans"/>
          <w:color w:val="1C1C1C"/>
          <w:shd w:val="clear" w:color="auto" w:fill="FFFFFF"/>
        </w:rPr>
        <w:t>campus universitaires</w:t>
      </w:r>
      <w:proofErr w:type="gramEnd"/>
      <w:r w:rsidRPr="00FD4A86">
        <w:rPr>
          <w:rFonts w:ascii="Open Sans" w:hAnsi="Open Sans" w:cs="Open Sans"/>
          <w:color w:val="1C1C1C"/>
          <w:shd w:val="clear" w:color="auto" w:fill="FFFFFF"/>
        </w:rPr>
        <w:t xml:space="preserve"> situés dans des zones à fort enjeu social, auront pour mission de fournir durablement (durant le projet et au-delà) :</w:t>
      </w:r>
    </w:p>
    <w:p w14:paraId="10B68651" w14:textId="77777777" w:rsidR="00202CB1" w:rsidRPr="00FD4A86" w:rsidRDefault="00202CB1" w:rsidP="00202CB1">
      <w:pPr>
        <w:pStyle w:val="Paragraphedeliste"/>
        <w:numPr>
          <w:ilvl w:val="0"/>
          <w:numId w:val="13"/>
        </w:numPr>
        <w:spacing w:after="0" w:line="240" w:lineRule="auto"/>
        <w:jc w:val="both"/>
        <w:rPr>
          <w:rFonts w:ascii="Open Sans" w:hAnsi="Open Sans" w:cs="Open Sans"/>
          <w:color w:val="1C1C1C"/>
          <w:shd w:val="clear" w:color="auto" w:fill="FFFFFF"/>
        </w:rPr>
      </w:pPr>
      <w:proofErr w:type="gramStart"/>
      <w:r w:rsidRPr="00FD4A86">
        <w:rPr>
          <w:rFonts w:ascii="Open Sans" w:hAnsi="Open Sans" w:cs="Open Sans"/>
          <w:color w:val="1C1C1C"/>
          <w:shd w:val="clear" w:color="auto" w:fill="FFFFFF"/>
        </w:rPr>
        <w:t>des</w:t>
      </w:r>
      <w:proofErr w:type="gramEnd"/>
      <w:r w:rsidRPr="00FD4A86">
        <w:rPr>
          <w:rFonts w:ascii="Open Sans" w:hAnsi="Open Sans" w:cs="Open Sans"/>
          <w:color w:val="1C1C1C"/>
          <w:shd w:val="clear" w:color="auto" w:fill="FFFFFF"/>
        </w:rPr>
        <w:t xml:space="preserve"> services internes aux universités (à destination des étudiants et de jeunes diplômés de l’université) : formations dans les domaines de l’employabilité et du numérique, micro-certifications, dispositifs de pré-incubation de projets d’entrepreneuriat étudiant ;</w:t>
      </w:r>
    </w:p>
    <w:p w14:paraId="5622C1B3" w14:textId="37E2BE97" w:rsidR="00202CB1" w:rsidRPr="00FD4A86" w:rsidRDefault="00202CB1" w:rsidP="00202CB1">
      <w:pPr>
        <w:pStyle w:val="Paragraphedeliste"/>
        <w:numPr>
          <w:ilvl w:val="0"/>
          <w:numId w:val="13"/>
        </w:numPr>
        <w:spacing w:after="0" w:line="240" w:lineRule="auto"/>
        <w:jc w:val="both"/>
        <w:rPr>
          <w:rFonts w:ascii="Open Sans" w:hAnsi="Open Sans" w:cs="Open Sans"/>
          <w:color w:val="1C1C1C"/>
          <w:shd w:val="clear" w:color="auto" w:fill="FFFFFF"/>
        </w:rPr>
      </w:pPr>
      <w:proofErr w:type="gramStart"/>
      <w:r w:rsidRPr="00FD4A86">
        <w:rPr>
          <w:rFonts w:ascii="Open Sans" w:hAnsi="Open Sans" w:cs="Open Sans"/>
          <w:color w:val="1C1C1C"/>
          <w:shd w:val="clear" w:color="auto" w:fill="FFFFFF"/>
        </w:rPr>
        <w:t>des</w:t>
      </w:r>
      <w:proofErr w:type="gramEnd"/>
      <w:r w:rsidRPr="00FD4A86">
        <w:rPr>
          <w:rFonts w:ascii="Open Sans" w:hAnsi="Open Sans" w:cs="Open Sans"/>
          <w:color w:val="1C1C1C"/>
          <w:shd w:val="clear" w:color="auto" w:fill="FFFFFF"/>
        </w:rPr>
        <w:t xml:space="preserve"> services externes à l’université (à destination de populations vulnérables) : formations à la littératie et à la professionnalisation numérique, ouvertes à la communauté environnante, dispensées par les étudiants.</w:t>
      </w:r>
    </w:p>
    <w:p w14:paraId="0E6DC7B2" w14:textId="77777777" w:rsidR="00202CB1" w:rsidRPr="00FD4A86" w:rsidRDefault="00202CB1" w:rsidP="00202CB1">
      <w:pPr>
        <w:spacing w:after="0" w:line="240" w:lineRule="auto"/>
        <w:jc w:val="both"/>
        <w:rPr>
          <w:rFonts w:ascii="Open Sans" w:hAnsi="Open Sans" w:cs="Open Sans"/>
          <w:color w:val="1C1C1C"/>
          <w:shd w:val="clear" w:color="auto" w:fill="FFFFFF"/>
        </w:rPr>
      </w:pPr>
    </w:p>
    <w:p w14:paraId="3CC31EC8" w14:textId="77777777" w:rsidR="00202CB1" w:rsidRPr="00FD4A86" w:rsidRDefault="00202CB1" w:rsidP="00202CB1">
      <w:pPr>
        <w:spacing w:after="0" w:line="240" w:lineRule="auto"/>
        <w:jc w:val="both"/>
        <w:rPr>
          <w:rFonts w:ascii="Open Sans" w:hAnsi="Open Sans" w:cs="Open Sans"/>
          <w:b/>
          <w:bCs/>
          <w:color w:val="1C1C1C"/>
          <w:shd w:val="clear" w:color="auto" w:fill="FFFFFF"/>
        </w:rPr>
      </w:pPr>
      <w:r w:rsidRPr="00FD4A86">
        <w:rPr>
          <w:rFonts w:ascii="Open Sans" w:hAnsi="Open Sans" w:cs="Open Sans"/>
          <w:b/>
          <w:bCs/>
          <w:color w:val="1C1C1C"/>
          <w:shd w:val="clear" w:color="auto" w:fill="FFFFFF"/>
        </w:rPr>
        <w:t xml:space="preserve">Consortium : </w:t>
      </w:r>
    </w:p>
    <w:p w14:paraId="21BC9026" w14:textId="7DB071E0" w:rsidR="00202CB1" w:rsidRPr="00FD4A86" w:rsidRDefault="00202CB1" w:rsidP="00202CB1">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Le projet est mis en œuvre par </w:t>
      </w:r>
      <w:r w:rsidRPr="00AD509E">
        <w:rPr>
          <w:rFonts w:ascii="Open Sans" w:hAnsi="Open Sans" w:cs="Open Sans"/>
          <w:b/>
          <w:bCs/>
          <w:color w:val="1C1C1C"/>
          <w:shd w:val="clear" w:color="auto" w:fill="FFFFFF"/>
        </w:rPr>
        <w:t>l’AUF Moyen-Orient, chef de file</w:t>
      </w:r>
      <w:r w:rsidRPr="00FD4A86">
        <w:rPr>
          <w:rFonts w:ascii="Open Sans" w:hAnsi="Open Sans" w:cs="Open Sans"/>
          <w:color w:val="1C1C1C"/>
          <w:shd w:val="clear" w:color="auto" w:fill="FFFFFF"/>
        </w:rPr>
        <w:t xml:space="preserve"> d’un consortium comprenant également les partenaires suivants : </w:t>
      </w:r>
    </w:p>
    <w:p w14:paraId="0058DED2" w14:textId="77777777" w:rsidR="0035557B"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Partenaire 1 : </w:t>
      </w:r>
      <w:r w:rsidR="00202CB1" w:rsidRPr="00FD4A86">
        <w:rPr>
          <w:rFonts w:ascii="Open Sans" w:hAnsi="Open Sans" w:cs="Open Sans"/>
          <w:color w:val="1C1C1C"/>
          <w:shd w:val="clear" w:color="auto" w:fill="FFFFFF"/>
        </w:rPr>
        <w:t>Center for Social Innovation (Chypre) ;</w:t>
      </w:r>
    </w:p>
    <w:p w14:paraId="76FD505E" w14:textId="397C88AA" w:rsidR="0035557B"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Partenaire 2 : </w:t>
      </w:r>
      <w:r w:rsidR="00202CB1" w:rsidRPr="00FD4A86">
        <w:rPr>
          <w:rFonts w:ascii="Open Sans" w:hAnsi="Open Sans" w:cs="Open Sans"/>
          <w:color w:val="1C1C1C"/>
          <w:shd w:val="clear" w:color="auto" w:fill="FFFFFF"/>
        </w:rPr>
        <w:t>Enroot (Égypte) ;</w:t>
      </w:r>
    </w:p>
    <w:p w14:paraId="36DE160C" w14:textId="0B7A271F" w:rsidR="0035557B"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Partenaire 3 : </w:t>
      </w:r>
      <w:r w:rsidR="00202CB1" w:rsidRPr="00FD4A86">
        <w:rPr>
          <w:rFonts w:ascii="Open Sans" w:hAnsi="Open Sans" w:cs="Open Sans"/>
          <w:color w:val="1C1C1C"/>
          <w:shd w:val="clear" w:color="auto" w:fill="FFFFFF"/>
        </w:rPr>
        <w:t>Aix-Marseille Université (France) ;</w:t>
      </w:r>
    </w:p>
    <w:p w14:paraId="19FD1E17" w14:textId="78ED26AA" w:rsidR="0035557B"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lang w:val="en-US"/>
        </w:rPr>
      </w:pPr>
      <w:r w:rsidRPr="00FD4A86">
        <w:rPr>
          <w:rFonts w:ascii="Open Sans" w:hAnsi="Open Sans" w:cs="Open Sans"/>
          <w:color w:val="1C1C1C"/>
          <w:shd w:val="clear" w:color="auto" w:fill="FFFFFF"/>
        </w:rPr>
        <w:t xml:space="preserve">Partenaire 4 : </w:t>
      </w:r>
      <w:r w:rsidR="00202CB1" w:rsidRPr="00FD4A86">
        <w:rPr>
          <w:rFonts w:ascii="Open Sans" w:hAnsi="Open Sans" w:cs="Open Sans"/>
          <w:color w:val="1C1C1C"/>
          <w:shd w:val="clear" w:color="auto" w:fill="FFFFFF"/>
          <w:lang w:val="en-US"/>
        </w:rPr>
        <w:t>Jordan Youth Innovation Forum (Jordanie</w:t>
      </w:r>
      <w:bookmarkStart w:id="0" w:name="_Int_sSGNUjXc"/>
      <w:r w:rsidR="00202CB1" w:rsidRPr="00FD4A86">
        <w:rPr>
          <w:rFonts w:ascii="Open Sans" w:hAnsi="Open Sans" w:cs="Open Sans"/>
          <w:color w:val="1C1C1C"/>
          <w:shd w:val="clear" w:color="auto" w:fill="FFFFFF"/>
          <w:lang w:val="en-US"/>
        </w:rPr>
        <w:t>) ;</w:t>
      </w:r>
      <w:bookmarkEnd w:id="0"/>
    </w:p>
    <w:p w14:paraId="437BFA92" w14:textId="55AC2D4D" w:rsidR="0035557B"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Partenaire 5 : </w:t>
      </w:r>
      <w:r w:rsidR="00202CB1" w:rsidRPr="00FD4A86">
        <w:rPr>
          <w:rFonts w:ascii="Open Sans" w:hAnsi="Open Sans" w:cs="Open Sans"/>
          <w:b/>
          <w:bCs/>
          <w:color w:val="1C1C1C"/>
          <w:shd w:val="clear" w:color="auto" w:fill="FFFFFF"/>
        </w:rPr>
        <w:t xml:space="preserve">Forward </w:t>
      </w:r>
      <w:r w:rsidR="00BB565E" w:rsidRPr="00FD4A86">
        <w:rPr>
          <w:rFonts w:ascii="Open Sans" w:hAnsi="Open Sans" w:cs="Open Sans"/>
          <w:b/>
          <w:bCs/>
          <w:color w:val="1C1C1C"/>
          <w:shd w:val="clear" w:color="auto" w:fill="FFFFFF"/>
        </w:rPr>
        <w:t xml:space="preserve">Digital </w:t>
      </w:r>
      <w:r w:rsidR="00202CB1" w:rsidRPr="00FD4A86">
        <w:rPr>
          <w:rFonts w:ascii="Open Sans" w:hAnsi="Open Sans" w:cs="Open Sans"/>
          <w:b/>
          <w:bCs/>
          <w:color w:val="1C1C1C"/>
          <w:shd w:val="clear" w:color="auto" w:fill="FFFFFF"/>
        </w:rPr>
        <w:t>Mena (Liban) ;</w:t>
      </w:r>
    </w:p>
    <w:p w14:paraId="437A16C5" w14:textId="76D98208" w:rsidR="00202CB1" w:rsidRPr="00FD4A86" w:rsidRDefault="0035557B" w:rsidP="0035557B">
      <w:pPr>
        <w:pStyle w:val="Paragraphedeliste"/>
        <w:numPr>
          <w:ilvl w:val="0"/>
          <w:numId w:val="14"/>
        </w:num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Partenaire 6 : </w:t>
      </w:r>
      <w:r w:rsidR="00202CB1" w:rsidRPr="00FD4A86">
        <w:rPr>
          <w:rFonts w:ascii="Open Sans" w:hAnsi="Open Sans" w:cs="Open Sans"/>
          <w:color w:val="1C1C1C"/>
          <w:shd w:val="clear" w:color="auto" w:fill="FFFFFF"/>
        </w:rPr>
        <w:t>Palestine Information and Communications Technology Incubator (Palestine).</w:t>
      </w:r>
    </w:p>
    <w:p w14:paraId="69F7C6C5" w14:textId="77777777" w:rsidR="00BB565E" w:rsidRPr="00FD4A86" w:rsidRDefault="00BB565E" w:rsidP="00BB565E">
      <w:pPr>
        <w:spacing w:after="0" w:line="240" w:lineRule="auto"/>
        <w:jc w:val="both"/>
        <w:rPr>
          <w:rFonts w:ascii="Open Sans" w:hAnsi="Open Sans" w:cs="Open Sans"/>
          <w:color w:val="1C1C1C"/>
          <w:shd w:val="clear" w:color="auto" w:fill="FFFFFF"/>
        </w:rPr>
      </w:pPr>
    </w:p>
    <w:p w14:paraId="54F68344" w14:textId="2B1E5793"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b/>
          <w:bCs/>
          <w:color w:val="1C1C1C"/>
          <w:shd w:val="clear" w:color="auto" w:fill="FFFFFF"/>
        </w:rPr>
        <w:t>Durée du projet :</w:t>
      </w:r>
      <w:r w:rsidRPr="00FD4A86">
        <w:rPr>
          <w:rFonts w:ascii="Open Sans" w:hAnsi="Open Sans" w:cs="Open Sans"/>
          <w:color w:val="1C1C1C"/>
          <w:shd w:val="clear" w:color="auto" w:fill="FFFFFF"/>
        </w:rPr>
        <w:t xml:space="preserve"> 3 ans</w:t>
      </w:r>
    </w:p>
    <w:p w14:paraId="49F0D957" w14:textId="6C21F758"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b/>
          <w:bCs/>
          <w:color w:val="1C1C1C"/>
          <w:shd w:val="clear" w:color="auto" w:fill="FFFFFF"/>
        </w:rPr>
        <w:t>Date de début :</w:t>
      </w:r>
      <w:r w:rsidRPr="00FD4A86">
        <w:rPr>
          <w:rFonts w:ascii="Open Sans" w:hAnsi="Open Sans" w:cs="Open Sans"/>
          <w:color w:val="1C1C1C"/>
          <w:shd w:val="clear" w:color="auto" w:fill="FFFFFF"/>
        </w:rPr>
        <w:t xml:space="preserve"> 27-08-2025 </w:t>
      </w:r>
    </w:p>
    <w:p w14:paraId="2608DE91" w14:textId="187DB704"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b/>
          <w:bCs/>
          <w:color w:val="1C1C1C"/>
          <w:shd w:val="clear" w:color="auto" w:fill="FFFFFF"/>
        </w:rPr>
        <w:t>Date de fin</w:t>
      </w:r>
      <w:r w:rsidRPr="00FD4A86">
        <w:rPr>
          <w:rFonts w:ascii="Open Sans" w:hAnsi="Open Sans" w:cs="Open Sans"/>
          <w:color w:val="1C1C1C"/>
          <w:shd w:val="clear" w:color="auto" w:fill="FFFFFF"/>
        </w:rPr>
        <w:t> : 26-08-2028</w:t>
      </w:r>
    </w:p>
    <w:p w14:paraId="7F92086E" w14:textId="77777777" w:rsidR="00202CB1" w:rsidRPr="00FD4A86" w:rsidRDefault="00202CB1" w:rsidP="00B362F9">
      <w:pPr>
        <w:spacing w:after="0" w:line="240" w:lineRule="auto"/>
        <w:jc w:val="both"/>
        <w:rPr>
          <w:rFonts w:ascii="Open Sans" w:hAnsi="Open Sans" w:cs="Open Sans"/>
          <w:color w:val="1C1C1C"/>
          <w:shd w:val="clear" w:color="auto" w:fill="FFFFFF"/>
        </w:rPr>
      </w:pPr>
    </w:p>
    <w:p w14:paraId="334ECC2D" w14:textId="63259A57" w:rsidR="00DB37D7" w:rsidRPr="00FD4A86" w:rsidRDefault="00DB37D7" w:rsidP="007C22B7">
      <w:pPr>
        <w:pStyle w:val="Paragraphedeliste"/>
        <w:numPr>
          <w:ilvl w:val="0"/>
          <w:numId w:val="5"/>
        </w:numPr>
        <w:jc w:val="both"/>
        <w:rPr>
          <w:rFonts w:ascii="Open Sans" w:hAnsi="Open Sans" w:cs="Open Sans"/>
          <w:b/>
        </w:rPr>
      </w:pPr>
      <w:r w:rsidRPr="00FD4A86">
        <w:rPr>
          <w:rFonts w:ascii="Open Sans" w:hAnsi="Open Sans" w:cs="Open Sans"/>
          <w:b/>
        </w:rPr>
        <w:t>Objet de l’appel d’offres</w:t>
      </w:r>
    </w:p>
    <w:p w14:paraId="3F47C8F6" w14:textId="491594B7" w:rsidR="00F07172" w:rsidRPr="00FD4A86" w:rsidRDefault="00F07172" w:rsidP="007C22B7">
      <w:pPr>
        <w:jc w:val="both"/>
        <w:rPr>
          <w:rStyle w:val="rynqvb"/>
          <w:rFonts w:ascii="Open Sans" w:hAnsi="Open Sans" w:cs="Open Sans"/>
        </w:rPr>
      </w:pPr>
      <w:r w:rsidRPr="00FD4A86">
        <w:rPr>
          <w:rStyle w:val="rynqvb"/>
          <w:rFonts w:ascii="Open Sans" w:hAnsi="Open Sans" w:cs="Open Sans"/>
        </w:rPr>
        <w:t xml:space="preserve">L’objet de l’appel est de sélectionner un auditeur externe pour </w:t>
      </w:r>
      <w:r w:rsidR="007C1EE2" w:rsidRPr="00925926">
        <w:rPr>
          <w:rStyle w:val="rynqvb"/>
          <w:rFonts w:ascii="Open Sans" w:hAnsi="Open Sans" w:cs="Open Sans"/>
          <w:color w:val="000000" w:themeColor="text1"/>
        </w:rPr>
        <w:t>e</w:t>
      </w:r>
      <w:r w:rsidR="001C575F" w:rsidRPr="00925926">
        <w:rPr>
          <w:rStyle w:val="rynqvb"/>
          <w:rFonts w:ascii="Open Sans" w:hAnsi="Open Sans" w:cs="Open Sans"/>
          <w:color w:val="000000" w:themeColor="text1"/>
        </w:rPr>
        <w:t>xécu</w:t>
      </w:r>
      <w:r w:rsidR="00307237" w:rsidRPr="00925926">
        <w:rPr>
          <w:rStyle w:val="rynqvb"/>
          <w:rFonts w:ascii="Open Sans" w:hAnsi="Open Sans" w:cs="Open Sans"/>
          <w:color w:val="000000" w:themeColor="text1"/>
        </w:rPr>
        <w:t>t</w:t>
      </w:r>
      <w:r w:rsidR="007C1EE2" w:rsidRPr="00925926">
        <w:rPr>
          <w:rStyle w:val="rynqvb"/>
          <w:rFonts w:ascii="Open Sans" w:hAnsi="Open Sans" w:cs="Open Sans"/>
          <w:color w:val="000000" w:themeColor="text1"/>
        </w:rPr>
        <w:t xml:space="preserve">er </w:t>
      </w:r>
      <w:r w:rsidRPr="00925926">
        <w:rPr>
          <w:rStyle w:val="rynqvb"/>
          <w:rFonts w:ascii="Open Sans" w:hAnsi="Open Sans" w:cs="Open Sans"/>
          <w:color w:val="000000" w:themeColor="text1"/>
        </w:rPr>
        <w:t xml:space="preserve">l’audit </w:t>
      </w:r>
      <w:r w:rsidRPr="00FD4A86">
        <w:rPr>
          <w:rStyle w:val="rynqvb"/>
          <w:rFonts w:ascii="Open Sans" w:hAnsi="Open Sans" w:cs="Open Sans"/>
        </w:rPr>
        <w:t xml:space="preserve">de l’ensemble </w:t>
      </w:r>
      <w:r w:rsidRPr="7879E159">
        <w:rPr>
          <w:rStyle w:val="rynqvb"/>
          <w:rFonts w:ascii="Open Sans" w:hAnsi="Open Sans" w:cs="Open Sans"/>
        </w:rPr>
        <w:t>de</w:t>
      </w:r>
      <w:r w:rsidR="06E5655F" w:rsidRPr="7879E159">
        <w:rPr>
          <w:rStyle w:val="rynqvb"/>
          <w:rFonts w:ascii="Open Sans" w:hAnsi="Open Sans" w:cs="Open Sans"/>
        </w:rPr>
        <w:t>s</w:t>
      </w:r>
      <w:r w:rsidRPr="00FD4A86">
        <w:rPr>
          <w:rStyle w:val="rynqvb"/>
          <w:rFonts w:ascii="Open Sans" w:hAnsi="Open Sans" w:cs="Open Sans"/>
        </w:rPr>
        <w:t xml:space="preserve"> dépenses effectuées par l’AUF Moyen-Or</w:t>
      </w:r>
      <w:r w:rsidR="00870BCC" w:rsidRPr="00FD4A86">
        <w:rPr>
          <w:rStyle w:val="rynqvb"/>
          <w:rFonts w:ascii="Open Sans" w:hAnsi="Open Sans" w:cs="Open Sans"/>
        </w:rPr>
        <w:t>i</w:t>
      </w:r>
      <w:r w:rsidRPr="00FD4A86">
        <w:rPr>
          <w:rStyle w:val="rynqvb"/>
          <w:rFonts w:ascii="Open Sans" w:hAnsi="Open Sans" w:cs="Open Sans"/>
        </w:rPr>
        <w:t xml:space="preserve">ent et </w:t>
      </w:r>
      <w:r w:rsidR="00E957B9">
        <w:rPr>
          <w:rStyle w:val="rynqvb"/>
          <w:rFonts w:ascii="Open Sans" w:hAnsi="Open Sans" w:cs="Open Sans"/>
        </w:rPr>
        <w:t>par</w:t>
      </w:r>
      <w:r w:rsidRPr="00FD4A86">
        <w:rPr>
          <w:rStyle w:val="rynqvb"/>
          <w:rFonts w:ascii="Open Sans" w:hAnsi="Open Sans" w:cs="Open Sans"/>
        </w:rPr>
        <w:t xml:space="preserve"> Forward </w:t>
      </w:r>
      <w:r w:rsidR="00E957B9">
        <w:rPr>
          <w:rStyle w:val="rynqvb"/>
          <w:rFonts w:ascii="Open Sans" w:hAnsi="Open Sans" w:cs="Open Sans"/>
        </w:rPr>
        <w:t xml:space="preserve">Digital </w:t>
      </w:r>
      <w:r w:rsidR="00C7556F" w:rsidRPr="42ECAF24">
        <w:rPr>
          <w:rStyle w:val="rynqvb"/>
          <w:rFonts w:ascii="Open Sans" w:hAnsi="Open Sans" w:cs="Open Sans"/>
        </w:rPr>
        <w:t>Mena</w:t>
      </w:r>
      <w:r w:rsidR="7AEB67CF" w:rsidRPr="42ECAF24">
        <w:rPr>
          <w:rStyle w:val="rynqvb"/>
          <w:rFonts w:ascii="Open Sans" w:hAnsi="Open Sans" w:cs="Open Sans"/>
        </w:rPr>
        <w:t xml:space="preserve"> </w:t>
      </w:r>
      <w:r w:rsidRPr="42ECAF24">
        <w:rPr>
          <w:rStyle w:val="rynqvb"/>
          <w:rFonts w:ascii="Open Sans" w:hAnsi="Open Sans" w:cs="Open Sans"/>
        </w:rPr>
        <w:t>da</w:t>
      </w:r>
      <w:r w:rsidR="00870BCC" w:rsidRPr="42ECAF24">
        <w:rPr>
          <w:rStyle w:val="rynqvb"/>
          <w:rFonts w:ascii="Open Sans" w:hAnsi="Open Sans" w:cs="Open Sans"/>
        </w:rPr>
        <w:t>n</w:t>
      </w:r>
      <w:r w:rsidRPr="42ECAF24">
        <w:rPr>
          <w:rStyle w:val="rynqvb"/>
          <w:rFonts w:ascii="Open Sans" w:hAnsi="Open Sans" w:cs="Open Sans"/>
        </w:rPr>
        <w:t>s</w:t>
      </w:r>
      <w:r w:rsidRPr="00FD4A86">
        <w:rPr>
          <w:rStyle w:val="rynqvb"/>
          <w:rFonts w:ascii="Open Sans" w:hAnsi="Open Sans" w:cs="Open Sans"/>
        </w:rPr>
        <w:t xml:space="preserve"> le cadre de la mise en œuvre du projet « A_T_3.1_0172_EUSEEDS », co-financé par l’Union européenne.</w:t>
      </w:r>
    </w:p>
    <w:p w14:paraId="1445AF87" w14:textId="130B2B4C" w:rsidR="007109BF" w:rsidRPr="00FD4A86" w:rsidRDefault="00F07172" w:rsidP="007C22B7">
      <w:pPr>
        <w:jc w:val="both"/>
        <w:rPr>
          <w:rStyle w:val="rynqvb"/>
          <w:rFonts w:ascii="Open Sans" w:hAnsi="Open Sans" w:cs="Open Sans"/>
        </w:rPr>
      </w:pPr>
      <w:r w:rsidRPr="00FD4A86">
        <w:rPr>
          <w:rStyle w:val="rynqvb"/>
          <w:rFonts w:ascii="Open Sans" w:hAnsi="Open Sans" w:cs="Open Sans"/>
        </w:rPr>
        <w:t xml:space="preserve">L’AUF Moyen-Orient est le </w:t>
      </w:r>
      <w:r w:rsidR="00A40627" w:rsidRPr="00FD4A86">
        <w:rPr>
          <w:rStyle w:val="rynqvb"/>
          <w:rFonts w:ascii="Open Sans" w:hAnsi="Open Sans" w:cs="Open Sans"/>
        </w:rPr>
        <w:t xml:space="preserve">coordinateur du projet, tandis que Forward </w:t>
      </w:r>
      <w:r w:rsidR="00C7556F">
        <w:rPr>
          <w:rStyle w:val="rynqvb"/>
          <w:rFonts w:ascii="Open Sans" w:hAnsi="Open Sans" w:cs="Open Sans"/>
        </w:rPr>
        <w:t xml:space="preserve">Digital </w:t>
      </w:r>
      <w:r w:rsidR="00A40627" w:rsidRPr="00FD4A86">
        <w:rPr>
          <w:rStyle w:val="rynqvb"/>
          <w:rFonts w:ascii="Open Sans" w:hAnsi="Open Sans" w:cs="Open Sans"/>
        </w:rPr>
        <w:t>Mena est le Partenaire 5</w:t>
      </w:r>
      <w:r w:rsidR="002F06CD" w:rsidRPr="00FD4A86">
        <w:rPr>
          <w:rStyle w:val="rynqvb"/>
          <w:rFonts w:ascii="Open Sans" w:hAnsi="Open Sans" w:cs="Open Sans"/>
        </w:rPr>
        <w:t>.</w:t>
      </w:r>
    </w:p>
    <w:p w14:paraId="6839F7E4" w14:textId="774ACCE5" w:rsidR="00BC378C" w:rsidRPr="00FD4A86" w:rsidRDefault="00BC378C" w:rsidP="00E957B9">
      <w:pPr>
        <w:spacing w:before="247"/>
        <w:jc w:val="both"/>
        <w:rPr>
          <w:rStyle w:val="rynqvb"/>
          <w:rFonts w:ascii="Open Sans" w:hAnsi="Open Sans" w:cs="Open Sans"/>
          <w:color w:val="1C1C1C"/>
          <w:shd w:val="clear" w:color="auto" w:fill="FFFFFF"/>
        </w:rPr>
      </w:pPr>
      <w:r w:rsidRPr="00FD4A86">
        <w:rPr>
          <w:rFonts w:ascii="Open Sans" w:hAnsi="Open Sans" w:cs="Open Sans"/>
          <w:color w:val="1C1C1C"/>
          <w:shd w:val="clear" w:color="auto" w:fill="FFFFFF"/>
        </w:rPr>
        <w:t>Le budget total des coûts directs éligibles de l’AUF Moyen-Orient (Chef de file) pour toute la durée du projet est de 617 500 euros</w:t>
      </w:r>
      <w:r w:rsidR="00E957B9">
        <w:rPr>
          <w:rFonts w:ascii="Open Sans" w:hAnsi="Open Sans" w:cs="Open Sans"/>
          <w:color w:val="1C1C1C"/>
          <w:shd w:val="clear" w:color="auto" w:fill="FFFFFF"/>
        </w:rPr>
        <w:t xml:space="preserve">. </w:t>
      </w:r>
      <w:r w:rsidR="00E957B9" w:rsidRPr="00FD4A86">
        <w:rPr>
          <w:rFonts w:ascii="Open Sans" w:hAnsi="Open Sans" w:cs="Open Sans"/>
          <w:color w:val="1C1C1C"/>
          <w:shd w:val="clear" w:color="auto" w:fill="FFFFFF"/>
        </w:rPr>
        <w:t>Le budget total des coûts directs éligible</w:t>
      </w:r>
      <w:r w:rsidRPr="00FD4A86">
        <w:rPr>
          <w:rFonts w:ascii="Open Sans" w:hAnsi="Open Sans" w:cs="Open Sans"/>
          <w:color w:val="1C1C1C"/>
          <w:shd w:val="clear" w:color="auto" w:fill="FFFFFF"/>
        </w:rPr>
        <w:t xml:space="preserve"> de</w:t>
      </w:r>
      <w:r w:rsidR="00E957B9">
        <w:rPr>
          <w:rFonts w:ascii="Open Sans" w:hAnsi="Open Sans" w:cs="Open Sans"/>
          <w:color w:val="1C1C1C"/>
          <w:shd w:val="clear" w:color="auto" w:fill="FFFFFF"/>
        </w:rPr>
        <w:t xml:space="preserve"> </w:t>
      </w:r>
      <w:r w:rsidRPr="00FD4A86">
        <w:rPr>
          <w:rFonts w:ascii="Open Sans" w:hAnsi="Open Sans" w:cs="Open Sans"/>
          <w:color w:val="1C1C1C"/>
          <w:shd w:val="clear" w:color="auto" w:fill="FFFFFF"/>
        </w:rPr>
        <w:t>Forward Digital Mena (Partenaire 5) est de 354</w:t>
      </w:r>
      <w:r w:rsidR="001D64F2">
        <w:rPr>
          <w:rFonts w:ascii="Open Sans" w:hAnsi="Open Sans" w:cs="Open Sans"/>
          <w:color w:val="1C1C1C"/>
          <w:shd w:val="clear" w:color="auto" w:fill="FFFFFF"/>
        </w:rPr>
        <w:t> </w:t>
      </w:r>
      <w:r w:rsidRPr="00FD4A86">
        <w:rPr>
          <w:rFonts w:ascii="Open Sans" w:hAnsi="Open Sans" w:cs="Open Sans"/>
          <w:color w:val="1C1C1C"/>
          <w:shd w:val="clear" w:color="auto" w:fill="FFFFFF"/>
        </w:rPr>
        <w:t>198</w:t>
      </w:r>
      <w:r w:rsidR="001D64F2" w:rsidRPr="001D64F2">
        <w:rPr>
          <w:rFonts w:ascii="Open Sans" w:hAnsi="Open Sans" w:cs="Open Sans"/>
          <w:color w:val="0070C0"/>
          <w:shd w:val="clear" w:color="auto" w:fill="FFFFFF"/>
        </w:rPr>
        <w:t>,</w:t>
      </w:r>
      <w:r w:rsidRPr="00925926">
        <w:rPr>
          <w:rFonts w:ascii="Open Sans" w:hAnsi="Open Sans" w:cs="Open Sans"/>
          <w:color w:val="000000" w:themeColor="text1"/>
          <w:shd w:val="clear" w:color="auto" w:fill="FFFFFF"/>
        </w:rPr>
        <w:t>5</w:t>
      </w:r>
      <w:r w:rsidR="001D64F2" w:rsidRPr="00925926">
        <w:rPr>
          <w:rFonts w:ascii="Open Sans" w:hAnsi="Open Sans" w:cs="Open Sans"/>
          <w:color w:val="000000" w:themeColor="text1"/>
          <w:shd w:val="clear" w:color="auto" w:fill="FFFFFF"/>
        </w:rPr>
        <w:t>0</w:t>
      </w:r>
      <w:r w:rsidRPr="00925926">
        <w:rPr>
          <w:rFonts w:ascii="Open Sans" w:hAnsi="Open Sans" w:cs="Open Sans"/>
          <w:color w:val="000000" w:themeColor="text1"/>
          <w:shd w:val="clear" w:color="auto" w:fill="FFFFFF"/>
        </w:rPr>
        <w:t xml:space="preserve"> euros</w:t>
      </w:r>
      <w:r w:rsidRPr="00FD4A86">
        <w:rPr>
          <w:rFonts w:ascii="Open Sans" w:hAnsi="Open Sans" w:cs="Open Sans"/>
          <w:color w:val="1C1C1C"/>
          <w:shd w:val="clear" w:color="auto" w:fill="FFFFFF"/>
        </w:rPr>
        <w:t>.</w:t>
      </w:r>
    </w:p>
    <w:p w14:paraId="7D52534E" w14:textId="7F08E73C" w:rsidR="002F06CD" w:rsidRPr="00FD4A86" w:rsidRDefault="002F06CD" w:rsidP="007C22B7">
      <w:pPr>
        <w:jc w:val="both"/>
        <w:rPr>
          <w:rStyle w:val="rynqvb"/>
          <w:rFonts w:ascii="Open Sans" w:hAnsi="Open Sans" w:cs="Open Sans"/>
        </w:rPr>
      </w:pPr>
      <w:r w:rsidRPr="00FD4A86">
        <w:rPr>
          <w:rStyle w:val="rynqvb"/>
          <w:rFonts w:ascii="Open Sans" w:hAnsi="Open Sans" w:cs="Open Sans"/>
        </w:rPr>
        <w:t>L’auditeur devra assurer l’ensemble des exigences d’audit du projet. Cela comprend six vérifications semestrielles des dépenses, la production de rapports ainsi que des revues de conformité, conformément aux lignes directrices du programme.</w:t>
      </w:r>
    </w:p>
    <w:p w14:paraId="6595A227" w14:textId="332221A6" w:rsidR="00870BCC" w:rsidRPr="00FD4A86" w:rsidRDefault="00151129" w:rsidP="00870BCC">
      <w:pPr>
        <w:pStyle w:val="Paragraphedeliste"/>
        <w:numPr>
          <w:ilvl w:val="0"/>
          <w:numId w:val="5"/>
        </w:numPr>
        <w:jc w:val="both"/>
        <w:rPr>
          <w:rFonts w:ascii="Open Sans" w:hAnsi="Open Sans" w:cs="Open Sans"/>
          <w:b/>
        </w:rPr>
      </w:pPr>
      <w:r w:rsidRPr="00FD4A86">
        <w:rPr>
          <w:rFonts w:ascii="Open Sans" w:hAnsi="Open Sans" w:cs="Open Sans"/>
          <w:b/>
        </w:rPr>
        <w:lastRenderedPageBreak/>
        <w:t>Tâches de l’auditeur</w:t>
      </w:r>
    </w:p>
    <w:p w14:paraId="364FE57D" w14:textId="77777777" w:rsidR="00151129" w:rsidRPr="00FD4A86" w:rsidRDefault="00151129" w:rsidP="00151129">
      <w:pPr>
        <w:pStyle w:val="Paragraphedeliste"/>
        <w:ind w:left="1069"/>
        <w:jc w:val="both"/>
        <w:rPr>
          <w:rStyle w:val="rynqvb"/>
          <w:rFonts w:ascii="Open Sans" w:hAnsi="Open Sans" w:cs="Open Sans"/>
        </w:rPr>
      </w:pPr>
    </w:p>
    <w:p w14:paraId="637D5CDA" w14:textId="768201C0" w:rsidR="00151129" w:rsidRPr="00FD4A86" w:rsidRDefault="00151129" w:rsidP="00151129">
      <w:pPr>
        <w:pStyle w:val="Paragraphedeliste"/>
        <w:numPr>
          <w:ilvl w:val="0"/>
          <w:numId w:val="15"/>
        </w:numPr>
        <w:jc w:val="both"/>
        <w:rPr>
          <w:rFonts w:ascii="Open Sans" w:hAnsi="Open Sans" w:cs="Open Sans"/>
        </w:rPr>
      </w:pPr>
      <w:r w:rsidRPr="00FD4A86">
        <w:rPr>
          <w:rFonts w:ascii="Open Sans" w:hAnsi="Open Sans" w:cs="Open Sans"/>
        </w:rPr>
        <w:t xml:space="preserve">Fournir l’ensemble des livrables d’audit requis pour le projet </w:t>
      </w:r>
      <w:r w:rsidR="00117C48" w:rsidRPr="00FD4A86">
        <w:rPr>
          <w:rFonts w:ascii="Open Sans" w:hAnsi="Open Sans" w:cs="Open Sans"/>
        </w:rPr>
        <w:t>EUSEEDS</w:t>
      </w:r>
      <w:r w:rsidRPr="00FD4A86">
        <w:rPr>
          <w:rFonts w:ascii="Open Sans" w:hAnsi="Open Sans" w:cs="Open Sans"/>
        </w:rPr>
        <w:t>, conformément au calendrier de reporting</w:t>
      </w:r>
      <w:r w:rsidR="00F3011B" w:rsidRPr="00FD4A86">
        <w:rPr>
          <w:rFonts w:ascii="Open Sans" w:hAnsi="Open Sans" w:cs="Open Sans"/>
        </w:rPr>
        <w:t xml:space="preserve"> du projet</w:t>
      </w:r>
      <w:r w:rsidR="00FD4A86" w:rsidRPr="00FD4A86">
        <w:rPr>
          <w:rFonts w:ascii="Open Sans" w:hAnsi="Open Sans" w:cs="Open Sans"/>
        </w:rPr>
        <w:t> ;</w:t>
      </w:r>
    </w:p>
    <w:p w14:paraId="2668A550" w14:textId="0ECBDADE" w:rsidR="00151129" w:rsidRPr="00FD4A86" w:rsidRDefault="00151129" w:rsidP="00151129">
      <w:pPr>
        <w:pStyle w:val="Paragraphedeliste"/>
        <w:numPr>
          <w:ilvl w:val="0"/>
          <w:numId w:val="15"/>
        </w:numPr>
        <w:jc w:val="both"/>
        <w:rPr>
          <w:rFonts w:ascii="Open Sans" w:hAnsi="Open Sans" w:cs="Open Sans"/>
        </w:rPr>
      </w:pPr>
      <w:r w:rsidRPr="00FD4A86">
        <w:rPr>
          <w:rFonts w:ascii="Open Sans" w:hAnsi="Open Sans" w:cs="Open Sans"/>
        </w:rPr>
        <w:t xml:space="preserve">Réaliser 6 audits de vérification des dépenses (un tous les 6 mois) pour les documents financiers </w:t>
      </w:r>
      <w:r w:rsidR="00F3011B" w:rsidRPr="00FD4A86">
        <w:rPr>
          <w:rFonts w:ascii="Open Sans" w:hAnsi="Open Sans" w:cs="Open Sans"/>
        </w:rPr>
        <w:t>du projet</w:t>
      </w:r>
      <w:r w:rsidRPr="00FD4A86">
        <w:rPr>
          <w:rFonts w:ascii="Open Sans" w:hAnsi="Open Sans" w:cs="Open Sans"/>
        </w:rPr>
        <w:t>, conformément aux lignes directrices d’audit d’Interreg NEXTMED et aux règles nationales d’éligibilité, en utilisant les modèles obligatoires de reporting financier et de vérification des dépenses fournis par le programme</w:t>
      </w:r>
      <w:r w:rsidR="00FD4A86" w:rsidRPr="00FD4A86">
        <w:rPr>
          <w:rFonts w:ascii="Open Sans" w:hAnsi="Open Sans" w:cs="Open Sans"/>
        </w:rPr>
        <w:t> ;</w:t>
      </w:r>
    </w:p>
    <w:p w14:paraId="3A7C35BA" w14:textId="1595EAB0" w:rsidR="00151129" w:rsidRPr="00E464D1" w:rsidRDefault="00151129" w:rsidP="00151129">
      <w:pPr>
        <w:pStyle w:val="Paragraphedeliste"/>
        <w:numPr>
          <w:ilvl w:val="0"/>
          <w:numId w:val="15"/>
        </w:numPr>
        <w:jc w:val="both"/>
        <w:rPr>
          <w:rFonts w:ascii="Open Sans" w:hAnsi="Open Sans" w:cs="Open Sans"/>
          <w:color w:val="0070C0"/>
        </w:rPr>
      </w:pPr>
      <w:r w:rsidRPr="00FD4A86">
        <w:rPr>
          <w:rFonts w:ascii="Open Sans" w:hAnsi="Open Sans" w:cs="Open Sans"/>
        </w:rPr>
        <w:t>Préparer six rapports de vérification des dépenses (un par cycle de reporting), attestant de l’exhaustivité et de l’exactitude de la documentation fournie</w:t>
      </w:r>
      <w:r w:rsidR="007B5483">
        <w:rPr>
          <w:rFonts w:ascii="Open Sans" w:hAnsi="Open Sans" w:cs="Open Sans"/>
        </w:rPr>
        <w:t xml:space="preserve">. </w:t>
      </w:r>
      <w:r w:rsidR="007B5483" w:rsidRPr="00AA25B4">
        <w:rPr>
          <w:rFonts w:ascii="Open Sans" w:hAnsi="Open Sans" w:cs="Open Sans"/>
          <w:color w:val="000000" w:themeColor="text1"/>
        </w:rPr>
        <w:t>Chaque rapport doit être rédigé en langue française</w:t>
      </w:r>
      <w:r w:rsidR="00060526" w:rsidRPr="00AA25B4">
        <w:rPr>
          <w:rFonts w:ascii="Open Sans" w:hAnsi="Open Sans" w:cs="Open Sans"/>
          <w:color w:val="000000" w:themeColor="text1"/>
        </w:rPr>
        <w:t xml:space="preserve"> </w:t>
      </w:r>
      <w:r w:rsidR="00222DFD" w:rsidRPr="00AA25B4">
        <w:rPr>
          <w:rFonts w:ascii="Open Sans" w:hAnsi="Open Sans" w:cs="Open Sans"/>
          <w:color w:val="000000" w:themeColor="text1"/>
        </w:rPr>
        <w:t xml:space="preserve">(version faisant foi) et comporter une </w:t>
      </w:r>
      <w:r w:rsidR="00B81216" w:rsidRPr="00AA25B4">
        <w:rPr>
          <w:rFonts w:ascii="Open Sans" w:hAnsi="Open Sans" w:cs="Open Sans"/>
          <w:color w:val="000000" w:themeColor="text1"/>
        </w:rPr>
        <w:t>traduction intégrale en langue anglaise</w:t>
      </w:r>
      <w:r w:rsidR="00E464D1" w:rsidRPr="00AA25B4">
        <w:rPr>
          <w:rFonts w:ascii="Open Sans" w:hAnsi="Open Sans" w:cs="Open Sans"/>
          <w:color w:val="000000" w:themeColor="text1"/>
        </w:rPr>
        <w:t> ;</w:t>
      </w:r>
    </w:p>
    <w:p w14:paraId="349F7E4E" w14:textId="2E68FAE9" w:rsidR="00151129" w:rsidRPr="00FD4A86" w:rsidRDefault="00151129" w:rsidP="00151129">
      <w:pPr>
        <w:pStyle w:val="Paragraphedeliste"/>
        <w:numPr>
          <w:ilvl w:val="0"/>
          <w:numId w:val="15"/>
        </w:numPr>
        <w:jc w:val="both"/>
        <w:rPr>
          <w:rFonts w:ascii="Open Sans" w:hAnsi="Open Sans" w:cs="Open Sans"/>
        </w:rPr>
      </w:pPr>
      <w:r w:rsidRPr="00FD4A86">
        <w:rPr>
          <w:rFonts w:ascii="Open Sans" w:hAnsi="Open Sans" w:cs="Open Sans"/>
        </w:rPr>
        <w:t>Mener des examens semestriels de la performance financière et du niveau de conformité. Mettre en évidence les risques financiers, les éventuels signaux d’alerte ou les points à améliorer</w:t>
      </w:r>
      <w:r w:rsidR="00FD4A86" w:rsidRPr="00FD4A86">
        <w:rPr>
          <w:rFonts w:ascii="Open Sans" w:hAnsi="Open Sans" w:cs="Open Sans"/>
        </w:rPr>
        <w:t> ;</w:t>
      </w:r>
    </w:p>
    <w:p w14:paraId="5709EAA6" w14:textId="4E2272E4" w:rsidR="00151129" w:rsidRPr="00FD4A86" w:rsidRDefault="00151129" w:rsidP="00151129">
      <w:pPr>
        <w:pStyle w:val="Paragraphedeliste"/>
        <w:numPr>
          <w:ilvl w:val="0"/>
          <w:numId w:val="15"/>
        </w:numPr>
        <w:jc w:val="both"/>
        <w:rPr>
          <w:rFonts w:ascii="Open Sans" w:hAnsi="Open Sans" w:cs="Open Sans"/>
        </w:rPr>
      </w:pPr>
      <w:r w:rsidRPr="00FD4A86">
        <w:rPr>
          <w:rFonts w:ascii="Open Sans" w:hAnsi="Open Sans" w:cs="Open Sans"/>
        </w:rPr>
        <w:t>Garantir une qualité constante pour les 6 rapports d’audit</w:t>
      </w:r>
      <w:r w:rsidR="00FD4A86" w:rsidRPr="00FD4A86">
        <w:rPr>
          <w:rFonts w:ascii="Open Sans" w:hAnsi="Open Sans" w:cs="Open Sans"/>
        </w:rPr>
        <w:t> ;</w:t>
      </w:r>
    </w:p>
    <w:p w14:paraId="28E034DF" w14:textId="5A93B6EF" w:rsidR="003F6E1C" w:rsidRPr="00FD4A86" w:rsidRDefault="00917A0A" w:rsidP="00151129">
      <w:pPr>
        <w:pStyle w:val="Paragraphedeliste"/>
        <w:numPr>
          <w:ilvl w:val="0"/>
          <w:numId w:val="15"/>
        </w:numPr>
        <w:jc w:val="both"/>
        <w:rPr>
          <w:rFonts w:ascii="Open Sans" w:hAnsi="Open Sans" w:cs="Open Sans"/>
        </w:rPr>
      </w:pPr>
      <w:r>
        <w:rPr>
          <w:rFonts w:ascii="Open Sans" w:hAnsi="Open Sans" w:cs="Open Sans"/>
        </w:rPr>
        <w:t>Communiquer de manière régulière et fluide</w:t>
      </w:r>
      <w:r w:rsidR="00151129" w:rsidRPr="00FD4A86">
        <w:rPr>
          <w:rFonts w:ascii="Open Sans" w:hAnsi="Open Sans" w:cs="Open Sans"/>
        </w:rPr>
        <w:t xml:space="preserve"> </w:t>
      </w:r>
      <w:r w:rsidR="00736031">
        <w:rPr>
          <w:rFonts w:ascii="Open Sans" w:hAnsi="Open Sans" w:cs="Open Sans"/>
        </w:rPr>
        <w:t xml:space="preserve">dès le début de l’audit </w:t>
      </w:r>
      <w:r w:rsidR="00151129" w:rsidRPr="00FD4A86">
        <w:rPr>
          <w:rFonts w:ascii="Open Sans" w:hAnsi="Open Sans" w:cs="Open Sans"/>
        </w:rPr>
        <w:t xml:space="preserve">avec les équipes financières et de coordination </w:t>
      </w:r>
      <w:r>
        <w:rPr>
          <w:rFonts w:ascii="Open Sans" w:hAnsi="Open Sans" w:cs="Open Sans"/>
        </w:rPr>
        <w:t>de l’AUF et de Forward Digital Mena</w:t>
      </w:r>
      <w:r w:rsidR="00151129" w:rsidRPr="00FD4A86">
        <w:rPr>
          <w:rFonts w:ascii="Open Sans" w:hAnsi="Open Sans" w:cs="Open Sans"/>
        </w:rPr>
        <w:t xml:space="preserve"> afin de garantir un accès rapide aux documents, explications et clarifications.</w:t>
      </w:r>
    </w:p>
    <w:p w14:paraId="5254CD70" w14:textId="77777777" w:rsidR="00151129" w:rsidRPr="00FD4A86" w:rsidRDefault="00151129" w:rsidP="00151129">
      <w:pPr>
        <w:pStyle w:val="Paragraphedeliste"/>
        <w:jc w:val="both"/>
        <w:rPr>
          <w:rStyle w:val="rynqvb"/>
          <w:rFonts w:ascii="Open Sans" w:hAnsi="Open Sans" w:cs="Open Sans"/>
        </w:rPr>
      </w:pPr>
    </w:p>
    <w:p w14:paraId="04A262FA" w14:textId="5CF23A4D" w:rsidR="00BC378C" w:rsidRPr="00FD4A86" w:rsidRDefault="00BC378C" w:rsidP="00BC378C">
      <w:pPr>
        <w:pStyle w:val="Paragraphedeliste"/>
        <w:numPr>
          <w:ilvl w:val="0"/>
          <w:numId w:val="5"/>
        </w:numPr>
        <w:jc w:val="both"/>
        <w:rPr>
          <w:rFonts w:ascii="Open Sans" w:hAnsi="Open Sans" w:cs="Open Sans"/>
          <w:b/>
        </w:rPr>
      </w:pPr>
      <w:r w:rsidRPr="00FD4A86">
        <w:rPr>
          <w:rFonts w:ascii="Open Sans" w:hAnsi="Open Sans" w:cs="Open Sans"/>
          <w:b/>
        </w:rPr>
        <w:t>Calendrier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835"/>
        <w:gridCol w:w="2268"/>
        <w:gridCol w:w="2106"/>
      </w:tblGrid>
      <w:tr w:rsidR="00A64D76" w:rsidRPr="002656D5" w14:paraId="2AD84149" w14:textId="4A1FD8B9" w:rsidTr="00452AED">
        <w:trPr>
          <w:trHeight w:val="55"/>
          <w:jc w:val="center"/>
        </w:trPr>
        <w:tc>
          <w:tcPr>
            <w:tcW w:w="1413" w:type="dxa"/>
            <w:shd w:val="clear" w:color="auto" w:fill="DA5C57"/>
            <w:vAlign w:val="center"/>
            <w:hideMark/>
          </w:tcPr>
          <w:p w14:paraId="32F57677" w14:textId="1738B586" w:rsidR="00A64D76" w:rsidRPr="002656D5" w:rsidRDefault="00A64D76" w:rsidP="00A64D76">
            <w:pPr>
              <w:spacing w:line="276" w:lineRule="auto"/>
              <w:rPr>
                <w:rFonts w:ascii="Open Sans" w:hAnsi="Open Sans" w:cs="Open Sans"/>
                <w:color w:val="FFFFFF" w:themeColor="background1"/>
                <w:sz w:val="20"/>
                <w:szCs w:val="20"/>
              </w:rPr>
            </w:pPr>
            <w:r w:rsidRPr="002656D5">
              <w:rPr>
                <w:rFonts w:ascii="Open Sans" w:hAnsi="Open Sans" w:cs="Open Sans"/>
                <w:b/>
                <w:bCs/>
                <w:color w:val="FFFFFF" w:themeColor="background1"/>
                <w:sz w:val="20"/>
                <w:szCs w:val="20"/>
              </w:rPr>
              <w:t>Rapports</w:t>
            </w:r>
            <w:r w:rsidRPr="002656D5">
              <w:rPr>
                <w:rFonts w:ascii="Open Sans" w:hAnsi="Open Sans" w:cs="Open Sans"/>
                <w:color w:val="FFFFFF" w:themeColor="background1"/>
                <w:sz w:val="20"/>
                <w:szCs w:val="20"/>
              </w:rPr>
              <w:t> </w:t>
            </w:r>
          </w:p>
        </w:tc>
        <w:tc>
          <w:tcPr>
            <w:tcW w:w="2835" w:type="dxa"/>
            <w:shd w:val="clear" w:color="auto" w:fill="DA5C57"/>
            <w:vAlign w:val="center"/>
            <w:hideMark/>
          </w:tcPr>
          <w:p w14:paraId="0DCE867B" w14:textId="77777777" w:rsidR="00A64D76" w:rsidRPr="002656D5" w:rsidRDefault="00A64D76" w:rsidP="00A64D76">
            <w:pPr>
              <w:spacing w:line="276" w:lineRule="auto"/>
              <w:rPr>
                <w:rFonts w:ascii="Open Sans" w:hAnsi="Open Sans" w:cs="Open Sans"/>
                <w:color w:val="FFFFFF" w:themeColor="background1"/>
                <w:sz w:val="20"/>
                <w:szCs w:val="20"/>
              </w:rPr>
            </w:pPr>
            <w:r w:rsidRPr="002656D5">
              <w:rPr>
                <w:rFonts w:ascii="Open Sans" w:hAnsi="Open Sans" w:cs="Open Sans"/>
                <w:b/>
                <w:bCs/>
                <w:color w:val="FFFFFF" w:themeColor="background1"/>
                <w:sz w:val="20"/>
                <w:szCs w:val="20"/>
              </w:rPr>
              <w:t>Mois couverts par le rapport</w:t>
            </w:r>
            <w:r w:rsidRPr="002656D5">
              <w:rPr>
                <w:rFonts w:ascii="Open Sans" w:hAnsi="Open Sans" w:cs="Open Sans"/>
                <w:color w:val="FFFFFF" w:themeColor="background1"/>
                <w:sz w:val="20"/>
                <w:szCs w:val="20"/>
              </w:rPr>
              <w:t> </w:t>
            </w:r>
          </w:p>
        </w:tc>
        <w:tc>
          <w:tcPr>
            <w:tcW w:w="2268" w:type="dxa"/>
            <w:shd w:val="clear" w:color="auto" w:fill="DA5C57"/>
          </w:tcPr>
          <w:p w14:paraId="5D6133A0" w14:textId="11F27195" w:rsidR="00A64D76" w:rsidRPr="002656D5" w:rsidRDefault="00A64D76" w:rsidP="00A64D76">
            <w:pPr>
              <w:spacing w:line="276" w:lineRule="auto"/>
              <w:rPr>
                <w:rFonts w:ascii="Open Sans" w:hAnsi="Open Sans" w:cs="Open Sans"/>
                <w:b/>
                <w:bCs/>
                <w:color w:val="FFFFFF" w:themeColor="background1"/>
                <w:sz w:val="20"/>
                <w:szCs w:val="20"/>
              </w:rPr>
            </w:pPr>
            <w:r w:rsidRPr="002656D5">
              <w:rPr>
                <w:rFonts w:ascii="Open Sans" w:hAnsi="Open Sans" w:cs="Open Sans"/>
                <w:b/>
                <w:bCs/>
                <w:color w:val="FFFFFF" w:themeColor="background1"/>
                <w:sz w:val="20"/>
                <w:szCs w:val="20"/>
              </w:rPr>
              <w:t>Date limite de remise du rapport définitif</w:t>
            </w:r>
          </w:p>
        </w:tc>
        <w:tc>
          <w:tcPr>
            <w:tcW w:w="2106" w:type="dxa"/>
            <w:shd w:val="clear" w:color="auto" w:fill="DB5C57"/>
            <w:vAlign w:val="center"/>
          </w:tcPr>
          <w:p w14:paraId="42CA0667" w14:textId="7CE28AB9" w:rsidR="00A64D76" w:rsidRPr="002656D5" w:rsidRDefault="00A64D76" w:rsidP="00A64D76">
            <w:pPr>
              <w:rPr>
                <w:rFonts w:ascii="Open Sans" w:hAnsi="Open Sans" w:cs="Open Sans"/>
                <w:sz w:val="20"/>
                <w:szCs w:val="20"/>
              </w:rPr>
            </w:pPr>
            <w:r w:rsidRPr="002656D5">
              <w:rPr>
                <w:rFonts w:ascii="Open Sans" w:hAnsi="Open Sans" w:cs="Open Sans"/>
                <w:b/>
                <w:bCs/>
                <w:color w:val="FFFFFF" w:themeColor="background1"/>
                <w:sz w:val="20"/>
                <w:szCs w:val="20"/>
              </w:rPr>
              <w:t>Date limite de dépôt à l’A</w:t>
            </w:r>
            <w:r w:rsidR="00452AED" w:rsidRPr="002656D5">
              <w:rPr>
                <w:rFonts w:ascii="Open Sans" w:hAnsi="Open Sans" w:cs="Open Sans"/>
                <w:b/>
                <w:bCs/>
                <w:color w:val="FFFFFF" w:themeColor="background1"/>
                <w:sz w:val="20"/>
                <w:szCs w:val="20"/>
              </w:rPr>
              <w:t>utorité de Gestion</w:t>
            </w:r>
          </w:p>
        </w:tc>
      </w:tr>
      <w:tr w:rsidR="00A64D76" w:rsidRPr="002656D5" w14:paraId="695D2FA2" w14:textId="35857013" w:rsidTr="002656D5">
        <w:trPr>
          <w:trHeight w:val="333"/>
          <w:jc w:val="center"/>
        </w:trPr>
        <w:tc>
          <w:tcPr>
            <w:tcW w:w="1413" w:type="dxa"/>
            <w:vAlign w:val="center"/>
            <w:hideMark/>
          </w:tcPr>
          <w:p w14:paraId="454D468A" w14:textId="3FF8B3AE"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1</w:t>
            </w:r>
            <w:r w:rsidRPr="002656D5">
              <w:rPr>
                <w:rFonts w:ascii="Open Sans" w:hAnsi="Open Sans" w:cs="Open Sans"/>
                <w:sz w:val="20"/>
                <w:szCs w:val="20"/>
                <w:vertAlign w:val="superscript"/>
              </w:rPr>
              <w:t>er</w:t>
            </w:r>
            <w:r w:rsidRPr="002656D5">
              <w:rPr>
                <w:rFonts w:ascii="Open Sans" w:hAnsi="Open Sans" w:cs="Open Sans"/>
                <w:sz w:val="20"/>
                <w:szCs w:val="20"/>
              </w:rPr>
              <w:t xml:space="preserve"> rapport</w:t>
            </w:r>
          </w:p>
          <w:p w14:paraId="4097FEBD" w14:textId="77777777" w:rsidR="00A64D76" w:rsidRPr="002656D5" w:rsidRDefault="00A64D76" w:rsidP="002656D5">
            <w:pPr>
              <w:spacing w:line="276" w:lineRule="auto"/>
              <w:ind w:left="345"/>
              <w:jc w:val="center"/>
              <w:rPr>
                <w:rFonts w:ascii="Open Sans" w:hAnsi="Open Sans" w:cs="Open Sans"/>
                <w:sz w:val="20"/>
                <w:szCs w:val="20"/>
              </w:rPr>
            </w:pPr>
          </w:p>
        </w:tc>
        <w:tc>
          <w:tcPr>
            <w:tcW w:w="2835" w:type="dxa"/>
            <w:vAlign w:val="center"/>
            <w:hideMark/>
          </w:tcPr>
          <w:p w14:paraId="05B2E797" w14:textId="4311EA89"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0-6 (27 août 2025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février 2026 inclus)</w:t>
            </w:r>
          </w:p>
        </w:tc>
        <w:tc>
          <w:tcPr>
            <w:tcW w:w="2268" w:type="dxa"/>
            <w:vAlign w:val="center"/>
          </w:tcPr>
          <w:p w14:paraId="3B6B3930" w14:textId="3FA65EC8"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10</w:t>
            </w:r>
            <w:r w:rsidRPr="002656D5" w:rsidDel="4E6DC2B1">
              <w:rPr>
                <w:rFonts w:ascii="Open Sans" w:hAnsi="Open Sans" w:cs="Open Sans"/>
                <w:color w:val="000000" w:themeColor="text1"/>
                <w:sz w:val="20"/>
                <w:szCs w:val="20"/>
              </w:rPr>
              <w:t xml:space="preserve"> </w:t>
            </w:r>
            <w:r w:rsidRPr="002656D5">
              <w:rPr>
                <w:rFonts w:ascii="Open Sans" w:hAnsi="Open Sans" w:cs="Open Sans"/>
                <w:color w:val="000000" w:themeColor="text1"/>
                <w:sz w:val="20"/>
                <w:szCs w:val="20"/>
              </w:rPr>
              <w:t>avril 2026</w:t>
            </w:r>
          </w:p>
        </w:tc>
        <w:tc>
          <w:tcPr>
            <w:tcW w:w="2106" w:type="dxa"/>
            <w:vAlign w:val="center"/>
          </w:tcPr>
          <w:p w14:paraId="5B296643" w14:textId="5E44FE9E"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avril 2026</w:t>
            </w:r>
          </w:p>
        </w:tc>
      </w:tr>
      <w:tr w:rsidR="00A64D76" w:rsidRPr="002656D5" w14:paraId="7FDA6D9E" w14:textId="17E8CAEB" w:rsidTr="002656D5">
        <w:trPr>
          <w:trHeight w:val="300"/>
          <w:jc w:val="center"/>
        </w:trPr>
        <w:tc>
          <w:tcPr>
            <w:tcW w:w="1413" w:type="dxa"/>
            <w:vAlign w:val="center"/>
            <w:hideMark/>
          </w:tcPr>
          <w:p w14:paraId="36F939D6" w14:textId="215F58D2"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2</w:t>
            </w:r>
            <w:r w:rsidRPr="002656D5">
              <w:rPr>
                <w:rFonts w:ascii="Open Sans" w:hAnsi="Open Sans" w:cs="Open Sans"/>
                <w:sz w:val="20"/>
                <w:szCs w:val="20"/>
                <w:vertAlign w:val="superscript"/>
              </w:rPr>
              <w:t>ème</w:t>
            </w:r>
            <w:r w:rsidRPr="002656D5">
              <w:rPr>
                <w:rFonts w:ascii="Open Sans" w:hAnsi="Open Sans" w:cs="Open Sans"/>
                <w:sz w:val="20"/>
                <w:szCs w:val="20"/>
              </w:rPr>
              <w:t xml:space="preserve"> rapport</w:t>
            </w:r>
          </w:p>
        </w:tc>
        <w:tc>
          <w:tcPr>
            <w:tcW w:w="2835" w:type="dxa"/>
            <w:vAlign w:val="center"/>
            <w:hideMark/>
          </w:tcPr>
          <w:p w14:paraId="5344BAE1" w14:textId="61DF3BF7"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7-12 (27 février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août 2026 inclus)</w:t>
            </w:r>
          </w:p>
          <w:p w14:paraId="0EC236B0" w14:textId="77777777" w:rsidR="00A64D76" w:rsidRPr="002656D5" w:rsidRDefault="00A64D76" w:rsidP="002656D5">
            <w:pPr>
              <w:spacing w:line="276" w:lineRule="auto"/>
              <w:jc w:val="center"/>
              <w:rPr>
                <w:rFonts w:ascii="Open Sans" w:hAnsi="Open Sans" w:cs="Open Sans"/>
                <w:color w:val="000000" w:themeColor="text1"/>
                <w:sz w:val="20"/>
                <w:szCs w:val="20"/>
              </w:rPr>
            </w:pPr>
          </w:p>
        </w:tc>
        <w:tc>
          <w:tcPr>
            <w:tcW w:w="2268" w:type="dxa"/>
            <w:vAlign w:val="center"/>
          </w:tcPr>
          <w:p w14:paraId="4BB8B575" w14:textId="41986C10"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10 octobre 2026</w:t>
            </w:r>
          </w:p>
        </w:tc>
        <w:tc>
          <w:tcPr>
            <w:tcW w:w="2106" w:type="dxa"/>
            <w:vAlign w:val="center"/>
          </w:tcPr>
          <w:p w14:paraId="58BD52D7" w14:textId="721FE828"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octobre 2026</w:t>
            </w:r>
          </w:p>
        </w:tc>
      </w:tr>
      <w:tr w:rsidR="00A64D76" w:rsidRPr="002656D5" w14:paraId="6C979975" w14:textId="4D1A2F81" w:rsidTr="002656D5">
        <w:trPr>
          <w:trHeight w:val="250"/>
          <w:jc w:val="center"/>
        </w:trPr>
        <w:tc>
          <w:tcPr>
            <w:tcW w:w="1413" w:type="dxa"/>
            <w:vAlign w:val="center"/>
            <w:hideMark/>
          </w:tcPr>
          <w:p w14:paraId="79AC3A29" w14:textId="4C0C5E1A"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3</w:t>
            </w:r>
            <w:r w:rsidRPr="002656D5">
              <w:rPr>
                <w:rFonts w:ascii="Open Sans" w:hAnsi="Open Sans" w:cs="Open Sans"/>
                <w:sz w:val="20"/>
                <w:szCs w:val="20"/>
                <w:vertAlign w:val="superscript"/>
              </w:rPr>
              <w:t>ème</w:t>
            </w:r>
            <w:r w:rsidRPr="002656D5">
              <w:rPr>
                <w:rFonts w:ascii="Open Sans" w:hAnsi="Open Sans" w:cs="Open Sans"/>
                <w:sz w:val="20"/>
                <w:szCs w:val="20"/>
              </w:rPr>
              <w:t xml:space="preserve"> rapport</w:t>
            </w:r>
          </w:p>
        </w:tc>
        <w:tc>
          <w:tcPr>
            <w:tcW w:w="2835" w:type="dxa"/>
            <w:vAlign w:val="center"/>
            <w:hideMark/>
          </w:tcPr>
          <w:p w14:paraId="3B77E3E2" w14:textId="141CFA6D"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13-18 (27 août 2026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février 2027 inclus)</w:t>
            </w:r>
          </w:p>
        </w:tc>
        <w:tc>
          <w:tcPr>
            <w:tcW w:w="2268" w:type="dxa"/>
            <w:vAlign w:val="center"/>
          </w:tcPr>
          <w:p w14:paraId="016E34B7" w14:textId="1BBC88C7"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1er avril 2027</w:t>
            </w:r>
          </w:p>
        </w:tc>
        <w:tc>
          <w:tcPr>
            <w:tcW w:w="2106" w:type="dxa"/>
            <w:vAlign w:val="center"/>
          </w:tcPr>
          <w:p w14:paraId="009D5424" w14:textId="2EB18840"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avril 2027</w:t>
            </w:r>
          </w:p>
        </w:tc>
      </w:tr>
      <w:tr w:rsidR="00A64D76" w:rsidRPr="002656D5" w14:paraId="027D70C0" w14:textId="6BC4C84E" w:rsidTr="002656D5">
        <w:trPr>
          <w:trHeight w:val="532"/>
          <w:jc w:val="center"/>
        </w:trPr>
        <w:tc>
          <w:tcPr>
            <w:tcW w:w="1413" w:type="dxa"/>
            <w:vAlign w:val="center"/>
            <w:hideMark/>
          </w:tcPr>
          <w:p w14:paraId="0EE70BF4" w14:textId="1182F074"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4</w:t>
            </w:r>
            <w:r w:rsidRPr="002656D5">
              <w:rPr>
                <w:rFonts w:ascii="Open Sans" w:hAnsi="Open Sans" w:cs="Open Sans"/>
                <w:sz w:val="20"/>
                <w:szCs w:val="20"/>
                <w:vertAlign w:val="superscript"/>
              </w:rPr>
              <w:t>ème</w:t>
            </w:r>
            <w:r w:rsidRPr="002656D5">
              <w:rPr>
                <w:rFonts w:ascii="Open Sans" w:hAnsi="Open Sans" w:cs="Open Sans"/>
                <w:sz w:val="20"/>
                <w:szCs w:val="20"/>
              </w:rPr>
              <w:t xml:space="preserve"> rapport</w:t>
            </w:r>
          </w:p>
        </w:tc>
        <w:tc>
          <w:tcPr>
            <w:tcW w:w="2835" w:type="dxa"/>
            <w:vAlign w:val="center"/>
            <w:hideMark/>
          </w:tcPr>
          <w:p w14:paraId="50C23913" w14:textId="7A9D2A0D"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19-24 (27 février 2027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août 2027 inclus)</w:t>
            </w:r>
          </w:p>
        </w:tc>
        <w:tc>
          <w:tcPr>
            <w:tcW w:w="2268" w:type="dxa"/>
            <w:vAlign w:val="center"/>
          </w:tcPr>
          <w:p w14:paraId="461478E6" w14:textId="2AD7F4AA"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5 octobre 2027</w:t>
            </w:r>
          </w:p>
        </w:tc>
        <w:tc>
          <w:tcPr>
            <w:tcW w:w="2106" w:type="dxa"/>
            <w:vAlign w:val="center"/>
          </w:tcPr>
          <w:p w14:paraId="7745417F" w14:textId="36EE8F9C"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octobre 2027</w:t>
            </w:r>
          </w:p>
        </w:tc>
      </w:tr>
      <w:tr w:rsidR="00A64D76" w:rsidRPr="002656D5" w14:paraId="1D79E392" w14:textId="790831DB" w:rsidTr="002656D5">
        <w:trPr>
          <w:trHeight w:val="515"/>
          <w:jc w:val="center"/>
        </w:trPr>
        <w:tc>
          <w:tcPr>
            <w:tcW w:w="1413" w:type="dxa"/>
            <w:vAlign w:val="center"/>
            <w:hideMark/>
          </w:tcPr>
          <w:p w14:paraId="215B1A51" w14:textId="674F3FEB"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5</w:t>
            </w:r>
            <w:r w:rsidRPr="002656D5">
              <w:rPr>
                <w:rFonts w:ascii="Open Sans" w:hAnsi="Open Sans" w:cs="Open Sans"/>
                <w:sz w:val="20"/>
                <w:szCs w:val="20"/>
                <w:vertAlign w:val="superscript"/>
              </w:rPr>
              <w:t>ème</w:t>
            </w:r>
            <w:r w:rsidRPr="002656D5">
              <w:rPr>
                <w:rFonts w:ascii="Open Sans" w:hAnsi="Open Sans" w:cs="Open Sans"/>
                <w:sz w:val="20"/>
                <w:szCs w:val="20"/>
              </w:rPr>
              <w:t xml:space="preserve"> rapport</w:t>
            </w:r>
          </w:p>
        </w:tc>
        <w:tc>
          <w:tcPr>
            <w:tcW w:w="2835" w:type="dxa"/>
            <w:vAlign w:val="center"/>
            <w:hideMark/>
          </w:tcPr>
          <w:p w14:paraId="3F0D617B" w14:textId="4B81F361"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25-30 (27 août 2027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février 2028 inclus)</w:t>
            </w:r>
          </w:p>
        </w:tc>
        <w:tc>
          <w:tcPr>
            <w:tcW w:w="2268" w:type="dxa"/>
            <w:vAlign w:val="center"/>
          </w:tcPr>
          <w:p w14:paraId="7F61842C" w14:textId="39D1E457"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5 avril 2028</w:t>
            </w:r>
          </w:p>
        </w:tc>
        <w:tc>
          <w:tcPr>
            <w:tcW w:w="2106" w:type="dxa"/>
            <w:vAlign w:val="center"/>
          </w:tcPr>
          <w:p w14:paraId="4A6D84C3" w14:textId="668AFD63"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avril 2028</w:t>
            </w:r>
          </w:p>
        </w:tc>
      </w:tr>
      <w:tr w:rsidR="00A64D76" w:rsidRPr="002656D5" w14:paraId="79D1B68B" w14:textId="7D27A2EA" w:rsidTr="002656D5">
        <w:trPr>
          <w:trHeight w:val="875"/>
          <w:jc w:val="center"/>
        </w:trPr>
        <w:tc>
          <w:tcPr>
            <w:tcW w:w="1413" w:type="dxa"/>
            <w:vAlign w:val="center"/>
            <w:hideMark/>
          </w:tcPr>
          <w:p w14:paraId="681C1674" w14:textId="665419E6" w:rsidR="00A64D76" w:rsidRPr="002656D5" w:rsidRDefault="00A64D76" w:rsidP="002656D5">
            <w:pPr>
              <w:spacing w:line="276" w:lineRule="auto"/>
              <w:jc w:val="center"/>
              <w:rPr>
                <w:rFonts w:ascii="Open Sans" w:hAnsi="Open Sans" w:cs="Open Sans"/>
                <w:sz w:val="20"/>
                <w:szCs w:val="20"/>
              </w:rPr>
            </w:pPr>
            <w:r w:rsidRPr="002656D5">
              <w:rPr>
                <w:rFonts w:ascii="Open Sans" w:hAnsi="Open Sans" w:cs="Open Sans"/>
                <w:sz w:val="20"/>
                <w:szCs w:val="20"/>
              </w:rPr>
              <w:t>Rapport final</w:t>
            </w:r>
          </w:p>
        </w:tc>
        <w:tc>
          <w:tcPr>
            <w:tcW w:w="2835" w:type="dxa"/>
            <w:vAlign w:val="center"/>
            <w:hideMark/>
          </w:tcPr>
          <w:p w14:paraId="189645BF" w14:textId="09FE6022"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 xml:space="preserve">31-36 (27 février 2028 </w:t>
            </w:r>
            <w:r w:rsidR="00593D7A" w:rsidRPr="002656D5">
              <w:rPr>
                <w:rFonts w:ascii="Open Sans" w:hAnsi="Open Sans" w:cs="Open Sans"/>
                <w:color w:val="000000" w:themeColor="text1"/>
                <w:sz w:val="20"/>
                <w:szCs w:val="20"/>
              </w:rPr>
              <w:t>au</w:t>
            </w:r>
            <w:r w:rsidRPr="002656D5">
              <w:rPr>
                <w:rFonts w:ascii="Open Sans" w:hAnsi="Open Sans" w:cs="Open Sans"/>
                <w:color w:val="000000" w:themeColor="text1"/>
                <w:sz w:val="20"/>
                <w:szCs w:val="20"/>
              </w:rPr>
              <w:t xml:space="preserve"> 26 août 2028 inclus)</w:t>
            </w:r>
          </w:p>
        </w:tc>
        <w:tc>
          <w:tcPr>
            <w:tcW w:w="2268" w:type="dxa"/>
            <w:vAlign w:val="center"/>
          </w:tcPr>
          <w:p w14:paraId="57FE6F8D" w14:textId="4431BB7E" w:rsidR="00A64D76" w:rsidRPr="002656D5" w:rsidRDefault="00A64D76" w:rsidP="002656D5">
            <w:pPr>
              <w:spacing w:line="276" w:lineRule="auto"/>
              <w:jc w:val="center"/>
              <w:rPr>
                <w:rFonts w:ascii="Open Sans" w:hAnsi="Open Sans" w:cs="Open Sans"/>
                <w:color w:val="000000" w:themeColor="text1"/>
                <w:sz w:val="20"/>
                <w:szCs w:val="20"/>
              </w:rPr>
            </w:pPr>
            <w:r w:rsidRPr="002656D5">
              <w:rPr>
                <w:rFonts w:ascii="Open Sans" w:hAnsi="Open Sans" w:cs="Open Sans"/>
                <w:color w:val="000000" w:themeColor="text1"/>
                <w:sz w:val="20"/>
                <w:szCs w:val="20"/>
              </w:rPr>
              <w:t>5 novembre 2028</w:t>
            </w:r>
          </w:p>
        </w:tc>
        <w:tc>
          <w:tcPr>
            <w:tcW w:w="2106" w:type="dxa"/>
            <w:vAlign w:val="center"/>
          </w:tcPr>
          <w:p w14:paraId="74A1F70C" w14:textId="048F73EF" w:rsidR="00A64D76" w:rsidRPr="002656D5" w:rsidRDefault="00A64D76" w:rsidP="002656D5">
            <w:pPr>
              <w:jc w:val="center"/>
              <w:rPr>
                <w:rFonts w:ascii="Open Sans" w:hAnsi="Open Sans" w:cs="Open Sans"/>
                <w:sz w:val="20"/>
                <w:szCs w:val="20"/>
              </w:rPr>
            </w:pPr>
            <w:r w:rsidRPr="002656D5">
              <w:rPr>
                <w:rFonts w:ascii="Open Sans" w:hAnsi="Open Sans" w:cs="Open Sans"/>
                <w:sz w:val="20"/>
                <w:szCs w:val="20"/>
              </w:rPr>
              <w:t>20 novembre 2028</w:t>
            </w:r>
          </w:p>
        </w:tc>
      </w:tr>
    </w:tbl>
    <w:p w14:paraId="51912DB9" w14:textId="77777777" w:rsidR="007672FD" w:rsidRDefault="007672FD" w:rsidP="007672FD">
      <w:pPr>
        <w:jc w:val="both"/>
        <w:rPr>
          <w:rFonts w:ascii="Open Sans" w:hAnsi="Open Sans" w:cs="Open Sans"/>
          <w:sz w:val="16"/>
          <w:szCs w:val="16"/>
        </w:rPr>
      </w:pPr>
    </w:p>
    <w:p w14:paraId="35149892" w14:textId="77777777" w:rsidR="00DF7CF5" w:rsidRDefault="00DF7CF5" w:rsidP="007672FD">
      <w:pPr>
        <w:jc w:val="both"/>
        <w:rPr>
          <w:rFonts w:ascii="Open Sans" w:hAnsi="Open Sans" w:cs="Open Sans"/>
          <w:sz w:val="16"/>
          <w:szCs w:val="16"/>
        </w:rPr>
      </w:pPr>
    </w:p>
    <w:p w14:paraId="70C8F542" w14:textId="77777777" w:rsidR="00C36CAD" w:rsidRDefault="00C36CAD" w:rsidP="00C36CAD">
      <w:pPr>
        <w:jc w:val="both"/>
        <w:rPr>
          <w:rFonts w:ascii="Open Sans" w:hAnsi="Open Sans" w:cs="Open Sans"/>
        </w:rPr>
      </w:pPr>
      <w:r w:rsidRPr="00C36CAD">
        <w:rPr>
          <w:rFonts w:ascii="Open Sans" w:hAnsi="Open Sans" w:cs="Open Sans"/>
        </w:rPr>
        <w:t>La durée de la mission sera définie préalablement avec l’auditeur, mais ne devra en aucun cas dépasser cinq semaines entre le début de l’audit et la remise du rapport d’audit final. Toute demande de clarification ou de documents justificatifs manquants devra être formulée durant cette période, afin de garantir la complétude du rapport soumis.</w:t>
      </w:r>
    </w:p>
    <w:p w14:paraId="340C8FD4" w14:textId="74272900" w:rsidR="002063E6" w:rsidRPr="001B631E" w:rsidRDefault="00BD7C57" w:rsidP="001B631E">
      <w:pPr>
        <w:pStyle w:val="Paragraphedeliste"/>
        <w:numPr>
          <w:ilvl w:val="0"/>
          <w:numId w:val="5"/>
        </w:numPr>
        <w:jc w:val="both"/>
        <w:rPr>
          <w:rFonts w:ascii="Open Sans" w:hAnsi="Open Sans" w:cs="Open Sans"/>
          <w:b/>
          <w:bCs/>
        </w:rPr>
      </w:pPr>
      <w:r w:rsidRPr="001B631E">
        <w:rPr>
          <w:rFonts w:ascii="Open Sans" w:hAnsi="Open Sans" w:cs="Open Sans"/>
          <w:b/>
          <w:bCs/>
        </w:rPr>
        <w:t>Critères</w:t>
      </w:r>
      <w:r w:rsidR="00136056" w:rsidRPr="001B631E">
        <w:rPr>
          <w:rFonts w:ascii="Open Sans" w:hAnsi="Open Sans" w:cs="Open Sans"/>
          <w:b/>
          <w:bCs/>
        </w:rPr>
        <w:t xml:space="preserve"> de l’appel d’offres</w:t>
      </w:r>
    </w:p>
    <w:p w14:paraId="064BB122" w14:textId="30E5066C" w:rsidR="00CA31C6" w:rsidRPr="00DF7CF5" w:rsidRDefault="00CA31C6" w:rsidP="00DF7CF5">
      <w:pPr>
        <w:spacing w:before="260"/>
        <w:ind w:left="45"/>
        <w:rPr>
          <w:rFonts w:ascii="Open Sans" w:hAnsi="Open Sans" w:cs="Open Sans"/>
        </w:rPr>
      </w:pPr>
      <w:r w:rsidRPr="00FD4A86">
        <w:rPr>
          <w:rFonts w:ascii="Open Sans" w:hAnsi="Open Sans" w:cs="Open Sans"/>
        </w:rPr>
        <w:t>L'auditeur externe doit remplir les conditions suivantes :</w:t>
      </w:r>
    </w:p>
    <w:p w14:paraId="39B7AB4E" w14:textId="6AAB2F37"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Cabinet d’audit enregistré et agréé</w:t>
      </w:r>
      <w:r w:rsidR="00D85522">
        <w:rPr>
          <w:rFonts w:ascii="Open Sans" w:hAnsi="Open Sans" w:cs="Open Sans"/>
        </w:rPr>
        <w:t xml:space="preserve"> </w:t>
      </w:r>
      <w:r w:rsidR="00D85522" w:rsidRPr="00AA25B4">
        <w:rPr>
          <w:rFonts w:ascii="Open Sans" w:hAnsi="Open Sans" w:cs="Open Sans"/>
          <w:color w:val="000000" w:themeColor="text1"/>
        </w:rPr>
        <w:t>au Liban</w:t>
      </w:r>
      <w:r w:rsidRPr="00FD4A86">
        <w:rPr>
          <w:rFonts w:ascii="Open Sans" w:hAnsi="Open Sans" w:cs="Open Sans"/>
        </w:rPr>
        <w:t xml:space="preserve">, ou expert-comptable certifié (CPA), </w:t>
      </w:r>
      <w:r w:rsidR="00E132A1" w:rsidRPr="00AA25B4">
        <w:rPr>
          <w:rFonts w:ascii="Open Sans" w:hAnsi="Open Sans" w:cs="Open Sans"/>
          <w:color w:val="000000" w:themeColor="text1"/>
        </w:rPr>
        <w:t xml:space="preserve">et </w:t>
      </w:r>
      <w:r w:rsidRPr="00FD4A86">
        <w:rPr>
          <w:rFonts w:ascii="Open Sans" w:hAnsi="Open Sans" w:cs="Open Sans"/>
        </w:rPr>
        <w:t>légalement habilité à réaliser des audits</w:t>
      </w:r>
      <w:r w:rsidR="00277199">
        <w:rPr>
          <w:rFonts w:ascii="Open Sans" w:hAnsi="Open Sans" w:cs="Open Sans"/>
        </w:rPr>
        <w:t> ;</w:t>
      </w:r>
    </w:p>
    <w:p w14:paraId="38D7FE84" w14:textId="2C81CC1F"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Membre de l’Association libanaise des experts-comptables agréés (LACPA)</w:t>
      </w:r>
      <w:r w:rsidR="00277199">
        <w:rPr>
          <w:rFonts w:ascii="Open Sans" w:hAnsi="Open Sans" w:cs="Open Sans"/>
        </w:rPr>
        <w:t> ;</w:t>
      </w:r>
    </w:p>
    <w:p w14:paraId="121A49B4" w14:textId="4080488C"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Expérience avérée dans l’audit de projets financés par l’UE, de préférence dans le cadre d’Interreg, ENI/ENPI CBC, IPA ou d’autres fonds transfrontaliers ou structurels similaires</w:t>
      </w:r>
      <w:r w:rsidR="00277199">
        <w:rPr>
          <w:rFonts w:ascii="Open Sans" w:hAnsi="Open Sans" w:cs="Open Sans"/>
        </w:rPr>
        <w:t> ;</w:t>
      </w:r>
    </w:p>
    <w:p w14:paraId="07A29CE2" w14:textId="77777777"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Solide compréhension :</w:t>
      </w:r>
    </w:p>
    <w:p w14:paraId="5B42D922" w14:textId="2F315CE2" w:rsidR="00CA31C6" w:rsidRPr="00FD4A86" w:rsidRDefault="00CA31C6" w:rsidP="00CA31C6">
      <w:pPr>
        <w:pStyle w:val="Paragraphedeliste"/>
        <w:numPr>
          <w:ilvl w:val="1"/>
          <w:numId w:val="18"/>
        </w:numPr>
        <w:jc w:val="both"/>
        <w:rPr>
          <w:rFonts w:ascii="Open Sans" w:hAnsi="Open Sans" w:cs="Open Sans"/>
        </w:rPr>
      </w:pPr>
      <w:proofErr w:type="gramStart"/>
      <w:r w:rsidRPr="00FD4A86">
        <w:rPr>
          <w:rFonts w:ascii="Open Sans" w:hAnsi="Open Sans" w:cs="Open Sans"/>
        </w:rPr>
        <w:t>des</w:t>
      </w:r>
      <w:proofErr w:type="gramEnd"/>
      <w:r w:rsidRPr="00FD4A86">
        <w:rPr>
          <w:rFonts w:ascii="Open Sans" w:hAnsi="Open Sans" w:cs="Open Sans"/>
        </w:rPr>
        <w:t xml:space="preserve"> règles financières et d’éligibilité de l’UE</w:t>
      </w:r>
      <w:r w:rsidR="007B3957">
        <w:rPr>
          <w:rFonts w:ascii="Open Sans" w:hAnsi="Open Sans" w:cs="Open Sans"/>
        </w:rPr>
        <w:t> ;</w:t>
      </w:r>
    </w:p>
    <w:p w14:paraId="622F847C" w14:textId="205AAD78" w:rsidR="00CA31C6" w:rsidRPr="00FD4A86" w:rsidRDefault="00CA31C6" w:rsidP="00CA31C6">
      <w:pPr>
        <w:pStyle w:val="Paragraphedeliste"/>
        <w:numPr>
          <w:ilvl w:val="1"/>
          <w:numId w:val="18"/>
        </w:numPr>
        <w:jc w:val="both"/>
        <w:rPr>
          <w:rFonts w:ascii="Open Sans" w:hAnsi="Open Sans" w:cs="Open Sans"/>
        </w:rPr>
      </w:pPr>
      <w:proofErr w:type="gramStart"/>
      <w:r w:rsidRPr="00FD4A86">
        <w:rPr>
          <w:rFonts w:ascii="Open Sans" w:hAnsi="Open Sans" w:cs="Open Sans"/>
        </w:rPr>
        <w:t>de</w:t>
      </w:r>
      <w:proofErr w:type="gramEnd"/>
      <w:r w:rsidRPr="00FD4A86">
        <w:rPr>
          <w:rFonts w:ascii="Open Sans" w:hAnsi="Open Sans" w:cs="Open Sans"/>
        </w:rPr>
        <w:t xml:space="preserve"> la conformité en matière de marchés publics</w:t>
      </w:r>
      <w:r w:rsidR="007B3957">
        <w:rPr>
          <w:rFonts w:ascii="Open Sans" w:hAnsi="Open Sans" w:cs="Open Sans"/>
        </w:rPr>
        <w:t> ;</w:t>
      </w:r>
    </w:p>
    <w:p w14:paraId="3823953A" w14:textId="2ADCCC69" w:rsidR="00CA31C6" w:rsidRPr="00FD4A86" w:rsidRDefault="00CA31C6" w:rsidP="00CA31C6">
      <w:pPr>
        <w:pStyle w:val="Paragraphedeliste"/>
        <w:numPr>
          <w:ilvl w:val="1"/>
          <w:numId w:val="18"/>
        </w:numPr>
        <w:jc w:val="both"/>
        <w:rPr>
          <w:rFonts w:ascii="Open Sans" w:hAnsi="Open Sans" w:cs="Open Sans"/>
        </w:rPr>
      </w:pPr>
      <w:proofErr w:type="gramStart"/>
      <w:r w:rsidRPr="00FD4A86">
        <w:rPr>
          <w:rFonts w:ascii="Open Sans" w:hAnsi="Open Sans" w:cs="Open Sans"/>
        </w:rPr>
        <w:t>des</w:t>
      </w:r>
      <w:proofErr w:type="gramEnd"/>
      <w:r w:rsidRPr="00FD4A86">
        <w:rPr>
          <w:rFonts w:ascii="Open Sans" w:hAnsi="Open Sans" w:cs="Open Sans"/>
        </w:rPr>
        <w:t xml:space="preserve"> exigences de traçabilité et de documentation imposées par la Commission européenne.</w:t>
      </w:r>
    </w:p>
    <w:p w14:paraId="344F11FF" w14:textId="37F5D7C1"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Utilisation de normes d’audit reconnues au niveau international (ex. : ISA, normes INTOSAI)</w:t>
      </w:r>
      <w:r w:rsidR="00277199">
        <w:rPr>
          <w:rFonts w:ascii="Open Sans" w:hAnsi="Open Sans" w:cs="Open Sans"/>
        </w:rPr>
        <w:t> ;</w:t>
      </w:r>
    </w:p>
    <w:p w14:paraId="408EC7E3" w14:textId="7081DF81" w:rsidR="00CA31C6"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Capacité à analyser des données d’audit provenant de partenaires internationaux</w:t>
      </w:r>
      <w:r w:rsidR="00277199">
        <w:rPr>
          <w:rFonts w:ascii="Open Sans" w:hAnsi="Open Sans" w:cs="Open Sans"/>
        </w:rPr>
        <w:t> ;</w:t>
      </w:r>
    </w:p>
    <w:p w14:paraId="5505C308" w14:textId="4E91A42A" w:rsidR="002564CC" w:rsidRPr="00FD4A86" w:rsidRDefault="00CA31C6" w:rsidP="00CA31C6">
      <w:pPr>
        <w:pStyle w:val="Paragraphedeliste"/>
        <w:numPr>
          <w:ilvl w:val="0"/>
          <w:numId w:val="18"/>
        </w:numPr>
        <w:jc w:val="both"/>
        <w:rPr>
          <w:rFonts w:ascii="Open Sans" w:hAnsi="Open Sans" w:cs="Open Sans"/>
        </w:rPr>
      </w:pPr>
      <w:r w:rsidRPr="00FD4A86">
        <w:rPr>
          <w:rFonts w:ascii="Open Sans" w:hAnsi="Open Sans" w:cs="Open Sans"/>
        </w:rPr>
        <w:t xml:space="preserve">Excellentes compétences rédactionnelles et orales en </w:t>
      </w:r>
      <w:r w:rsidR="00AA2C35" w:rsidRPr="00FD4A86">
        <w:rPr>
          <w:rFonts w:ascii="Open Sans" w:hAnsi="Open Sans" w:cs="Open Sans"/>
        </w:rPr>
        <w:t>français</w:t>
      </w:r>
      <w:r w:rsidRPr="00FD4A86">
        <w:rPr>
          <w:rFonts w:ascii="Open Sans" w:hAnsi="Open Sans" w:cs="Open Sans"/>
        </w:rPr>
        <w:t>, tou</w:t>
      </w:r>
      <w:r w:rsidR="00AA2C35" w:rsidRPr="00FD4A86">
        <w:rPr>
          <w:rFonts w:ascii="Open Sans" w:hAnsi="Open Sans" w:cs="Open Sans"/>
        </w:rPr>
        <w:t xml:space="preserve">s </w:t>
      </w:r>
      <w:r w:rsidRPr="00FD4A86">
        <w:rPr>
          <w:rFonts w:ascii="Open Sans" w:hAnsi="Open Sans" w:cs="Open Sans"/>
        </w:rPr>
        <w:t xml:space="preserve">les livrables d’audit devant être soumis en </w:t>
      </w:r>
      <w:r w:rsidR="00AA2C35" w:rsidRPr="00FD4A86">
        <w:rPr>
          <w:rFonts w:ascii="Open Sans" w:hAnsi="Open Sans" w:cs="Open Sans"/>
        </w:rPr>
        <w:t>français</w:t>
      </w:r>
      <w:r w:rsidR="00277199">
        <w:rPr>
          <w:rFonts w:ascii="Open Sans" w:hAnsi="Open Sans" w:cs="Open Sans"/>
        </w:rPr>
        <w:t> ;</w:t>
      </w:r>
    </w:p>
    <w:p w14:paraId="59558CC4" w14:textId="77777777" w:rsidR="00887F1C" w:rsidRDefault="000D4A41" w:rsidP="00887F1C">
      <w:pPr>
        <w:pStyle w:val="Paragraphedeliste"/>
        <w:numPr>
          <w:ilvl w:val="0"/>
          <w:numId w:val="18"/>
        </w:numPr>
        <w:jc w:val="both"/>
        <w:rPr>
          <w:rFonts w:ascii="Open Sans" w:hAnsi="Open Sans" w:cs="Open Sans"/>
        </w:rPr>
      </w:pPr>
      <w:r w:rsidRPr="00FD4A86">
        <w:rPr>
          <w:rFonts w:ascii="Open Sans" w:hAnsi="Open Sans" w:cs="Open Sans"/>
        </w:rPr>
        <w:t>Doit disposer d’un compte bancaire valide au nom de l’entreprise et acceptant les virements bancaires.</w:t>
      </w:r>
    </w:p>
    <w:p w14:paraId="79B36147" w14:textId="3844DC0E" w:rsidR="000D4A41" w:rsidRPr="00277199" w:rsidRDefault="000D4A41" w:rsidP="00C06EFD">
      <w:pPr>
        <w:pStyle w:val="Paragraphedeliste"/>
        <w:ind w:left="440"/>
        <w:jc w:val="both"/>
        <w:rPr>
          <w:rFonts w:ascii="Open Sans" w:hAnsi="Open Sans" w:cs="Open Sans"/>
        </w:rPr>
      </w:pPr>
    </w:p>
    <w:p w14:paraId="14D8A811" w14:textId="283BA92A" w:rsidR="000D4A41" w:rsidRPr="00FD4A86" w:rsidRDefault="000D4A41" w:rsidP="000D4A41">
      <w:pPr>
        <w:pStyle w:val="Paragraphedeliste"/>
        <w:numPr>
          <w:ilvl w:val="0"/>
          <w:numId w:val="5"/>
        </w:numPr>
        <w:jc w:val="both"/>
        <w:rPr>
          <w:rFonts w:ascii="Open Sans" w:hAnsi="Open Sans" w:cs="Open Sans"/>
          <w:b/>
          <w:bCs/>
        </w:rPr>
      </w:pPr>
      <w:r w:rsidRPr="00FD4A86">
        <w:rPr>
          <w:rFonts w:ascii="Open Sans" w:hAnsi="Open Sans" w:cs="Open Sans"/>
          <w:b/>
          <w:bCs/>
        </w:rPr>
        <w:t>Critères d’évaluation</w:t>
      </w:r>
    </w:p>
    <w:p w14:paraId="7E6B1D6E" w14:textId="77777777" w:rsidR="000D4A41" w:rsidRPr="00FD4A86" w:rsidRDefault="000D4A41" w:rsidP="000D4A41">
      <w:pPr>
        <w:pStyle w:val="Paragraphedeliste"/>
        <w:ind w:left="360"/>
        <w:jc w:val="both"/>
        <w:rPr>
          <w:rFonts w:ascii="Open Sans" w:hAnsi="Open Sans" w:cs="Open Sans"/>
          <w:b/>
          <w:bCs/>
        </w:rPr>
      </w:pPr>
    </w:p>
    <w:tbl>
      <w:tblPr>
        <w:tblStyle w:val="Grilledutableau"/>
        <w:tblW w:w="0" w:type="auto"/>
        <w:tblInd w:w="360" w:type="dxa"/>
        <w:tblLook w:val="04A0" w:firstRow="1" w:lastRow="0" w:firstColumn="1" w:lastColumn="0" w:noHBand="0" w:noVBand="1"/>
      </w:tblPr>
      <w:tblGrid>
        <w:gridCol w:w="4346"/>
        <w:gridCol w:w="4356"/>
      </w:tblGrid>
      <w:tr w:rsidR="000D4A41" w:rsidRPr="00FD4A86" w14:paraId="06734B02" w14:textId="77777777" w:rsidTr="000D4A41">
        <w:tc>
          <w:tcPr>
            <w:tcW w:w="4531" w:type="dxa"/>
          </w:tcPr>
          <w:p w14:paraId="5DFC7AF3" w14:textId="06FE8658" w:rsidR="000D4A41" w:rsidRPr="00FD4A86" w:rsidRDefault="000D4A41" w:rsidP="000D4A41">
            <w:pPr>
              <w:pStyle w:val="Paragraphedeliste"/>
              <w:ind w:left="0"/>
              <w:jc w:val="both"/>
              <w:rPr>
                <w:rFonts w:ascii="Open Sans" w:hAnsi="Open Sans" w:cs="Open Sans"/>
                <w:b/>
                <w:bCs/>
              </w:rPr>
            </w:pPr>
            <w:r w:rsidRPr="00FD4A86">
              <w:rPr>
                <w:rFonts w:ascii="Open Sans" w:hAnsi="Open Sans" w:cs="Open Sans"/>
                <w:b/>
                <w:bCs/>
              </w:rPr>
              <w:t>Critère</w:t>
            </w:r>
          </w:p>
        </w:tc>
        <w:tc>
          <w:tcPr>
            <w:tcW w:w="4531" w:type="dxa"/>
          </w:tcPr>
          <w:p w14:paraId="3A05AAB9" w14:textId="7B397A84" w:rsidR="000D4A41" w:rsidRPr="00FD4A86" w:rsidRDefault="000D4A41" w:rsidP="000D4A41">
            <w:pPr>
              <w:pStyle w:val="Paragraphedeliste"/>
              <w:ind w:left="0"/>
              <w:jc w:val="both"/>
              <w:rPr>
                <w:rFonts w:ascii="Open Sans" w:hAnsi="Open Sans" w:cs="Open Sans"/>
                <w:b/>
                <w:bCs/>
              </w:rPr>
            </w:pPr>
            <w:r w:rsidRPr="00FD4A86">
              <w:rPr>
                <w:rFonts w:ascii="Open Sans" w:hAnsi="Open Sans" w:cs="Open Sans"/>
                <w:b/>
                <w:bCs/>
              </w:rPr>
              <w:t xml:space="preserve">Coefficient </w:t>
            </w:r>
          </w:p>
        </w:tc>
      </w:tr>
      <w:tr w:rsidR="000D4A41" w:rsidRPr="00FD4A86" w14:paraId="7FD149A9" w14:textId="77777777" w:rsidTr="000D4A41">
        <w:tc>
          <w:tcPr>
            <w:tcW w:w="4531" w:type="dxa"/>
          </w:tcPr>
          <w:p w14:paraId="1011505D" w14:textId="09128EDC" w:rsidR="000D4A41" w:rsidRPr="00FD4A86" w:rsidRDefault="000D4A41" w:rsidP="000D4A41">
            <w:pPr>
              <w:pStyle w:val="Paragraphedeliste"/>
              <w:ind w:left="0"/>
              <w:jc w:val="both"/>
              <w:rPr>
                <w:rFonts w:ascii="Open Sans" w:hAnsi="Open Sans" w:cs="Open Sans"/>
              </w:rPr>
            </w:pPr>
            <w:r w:rsidRPr="00FD4A86">
              <w:rPr>
                <w:rFonts w:ascii="Open Sans" w:hAnsi="Open Sans" w:cs="Open Sans"/>
              </w:rPr>
              <w:t>Offre technique</w:t>
            </w:r>
          </w:p>
        </w:tc>
        <w:tc>
          <w:tcPr>
            <w:tcW w:w="4531" w:type="dxa"/>
          </w:tcPr>
          <w:p w14:paraId="0344C1F3" w14:textId="342759FF" w:rsidR="000D4A41" w:rsidRPr="00FD4A86" w:rsidRDefault="000D4A41" w:rsidP="000D4A41">
            <w:pPr>
              <w:pStyle w:val="Paragraphedeliste"/>
              <w:ind w:left="0"/>
              <w:jc w:val="both"/>
              <w:rPr>
                <w:rFonts w:ascii="Open Sans" w:hAnsi="Open Sans" w:cs="Open Sans"/>
              </w:rPr>
            </w:pPr>
            <w:r w:rsidRPr="00FD4A86">
              <w:rPr>
                <w:rFonts w:ascii="Open Sans" w:hAnsi="Open Sans" w:cs="Open Sans"/>
              </w:rPr>
              <w:t>50%</w:t>
            </w:r>
          </w:p>
        </w:tc>
      </w:tr>
      <w:tr w:rsidR="000D4A41" w:rsidRPr="00FD4A86" w14:paraId="36D694CA" w14:textId="77777777" w:rsidTr="000D4A41">
        <w:tc>
          <w:tcPr>
            <w:tcW w:w="4531" w:type="dxa"/>
          </w:tcPr>
          <w:p w14:paraId="2B1344CD" w14:textId="025E325D" w:rsidR="000D4A41" w:rsidRPr="00FD4A86" w:rsidRDefault="000D4A41" w:rsidP="000D4A41">
            <w:pPr>
              <w:pStyle w:val="Paragraphedeliste"/>
              <w:ind w:left="0"/>
              <w:jc w:val="both"/>
              <w:rPr>
                <w:rFonts w:ascii="Open Sans" w:hAnsi="Open Sans" w:cs="Open Sans"/>
              </w:rPr>
            </w:pPr>
            <w:r w:rsidRPr="00FD4A86">
              <w:rPr>
                <w:rFonts w:ascii="Open Sans" w:hAnsi="Open Sans" w:cs="Open Sans"/>
              </w:rPr>
              <w:t>Offre financière</w:t>
            </w:r>
          </w:p>
        </w:tc>
        <w:tc>
          <w:tcPr>
            <w:tcW w:w="4531" w:type="dxa"/>
          </w:tcPr>
          <w:p w14:paraId="1D433861" w14:textId="7BC2B287" w:rsidR="000D4A41" w:rsidRPr="00FD4A86" w:rsidRDefault="000D4A41" w:rsidP="000D4A41">
            <w:pPr>
              <w:pStyle w:val="Paragraphedeliste"/>
              <w:ind w:left="0"/>
              <w:jc w:val="both"/>
              <w:rPr>
                <w:rFonts w:ascii="Open Sans" w:hAnsi="Open Sans" w:cs="Open Sans"/>
              </w:rPr>
            </w:pPr>
            <w:r w:rsidRPr="00FD4A86">
              <w:rPr>
                <w:rFonts w:ascii="Open Sans" w:hAnsi="Open Sans" w:cs="Open Sans"/>
              </w:rPr>
              <w:t>50%</w:t>
            </w:r>
          </w:p>
        </w:tc>
      </w:tr>
    </w:tbl>
    <w:p w14:paraId="4B781340" w14:textId="77777777" w:rsidR="000D4A41" w:rsidRPr="00FD4A86" w:rsidRDefault="000D4A41" w:rsidP="000D4A41">
      <w:pPr>
        <w:pStyle w:val="Paragraphedeliste"/>
        <w:ind w:left="360"/>
        <w:jc w:val="both"/>
        <w:rPr>
          <w:rFonts w:ascii="Open Sans" w:hAnsi="Open Sans" w:cs="Open Sans"/>
          <w:b/>
          <w:bCs/>
        </w:rPr>
      </w:pPr>
    </w:p>
    <w:p w14:paraId="15B6A5FA" w14:textId="77777777" w:rsidR="00CA31C6" w:rsidRPr="00FD4A86" w:rsidRDefault="00CA31C6" w:rsidP="00CA31C6">
      <w:pPr>
        <w:pStyle w:val="Paragraphedeliste"/>
        <w:ind w:left="440"/>
        <w:jc w:val="both"/>
        <w:rPr>
          <w:rFonts w:ascii="Open Sans" w:hAnsi="Open Sans" w:cs="Open Sans"/>
        </w:rPr>
      </w:pPr>
    </w:p>
    <w:p w14:paraId="142A7070" w14:textId="3FF628D0" w:rsidR="00A75C5B" w:rsidRPr="00FD4A86" w:rsidRDefault="00A75C5B" w:rsidP="000D4A41">
      <w:pPr>
        <w:pStyle w:val="Paragraphedeliste"/>
        <w:numPr>
          <w:ilvl w:val="0"/>
          <w:numId w:val="5"/>
        </w:numPr>
        <w:jc w:val="both"/>
        <w:rPr>
          <w:rFonts w:ascii="Open Sans" w:hAnsi="Open Sans" w:cs="Open Sans"/>
          <w:b/>
          <w:bCs/>
        </w:rPr>
      </w:pPr>
      <w:r w:rsidRPr="00FD4A86">
        <w:rPr>
          <w:rFonts w:ascii="Open Sans" w:hAnsi="Open Sans" w:cs="Open Sans"/>
          <w:b/>
          <w:bCs/>
        </w:rPr>
        <w:t>Conditions et soumission de candidature</w:t>
      </w:r>
    </w:p>
    <w:p w14:paraId="5162DCC5" w14:textId="77777777" w:rsidR="00EF697A" w:rsidRPr="00EF697A" w:rsidRDefault="00EF697A" w:rsidP="00EF697A">
      <w:pPr>
        <w:spacing w:after="0" w:line="240" w:lineRule="auto"/>
        <w:jc w:val="both"/>
        <w:rPr>
          <w:rFonts w:ascii="Open Sans" w:hAnsi="Open Sans" w:cs="Open Sans"/>
          <w:b/>
          <w:bCs/>
        </w:rPr>
      </w:pPr>
      <w:r w:rsidRPr="00EF697A">
        <w:rPr>
          <w:rFonts w:ascii="Open Sans" w:hAnsi="Open Sans" w:cs="Open Sans"/>
          <w:b/>
          <w:bCs/>
        </w:rPr>
        <w:t>Conformément aux exigences du programme Interreg NEXT MED, les partenaires d’un même pays doivent faire appel au même auditeur.</w:t>
      </w:r>
    </w:p>
    <w:p w14:paraId="58BC4722" w14:textId="3F6DB407" w:rsidR="00EF697A" w:rsidRPr="00EF697A" w:rsidRDefault="00EF697A" w:rsidP="00EF697A">
      <w:pPr>
        <w:spacing w:after="0" w:line="240" w:lineRule="auto"/>
        <w:jc w:val="both"/>
        <w:rPr>
          <w:rFonts w:ascii="Open Sans" w:hAnsi="Open Sans" w:cs="Open Sans"/>
          <w:b/>
          <w:bCs/>
        </w:rPr>
      </w:pPr>
      <w:r w:rsidRPr="00EF697A">
        <w:rPr>
          <w:rFonts w:ascii="Open Sans" w:hAnsi="Open Sans" w:cs="Open Sans"/>
          <w:b/>
          <w:bCs/>
        </w:rPr>
        <w:t xml:space="preserve">Ainsi, l’auditeur </w:t>
      </w:r>
      <w:r w:rsidR="00C7556F">
        <w:rPr>
          <w:rFonts w:ascii="Open Sans" w:hAnsi="Open Sans" w:cs="Open Sans"/>
          <w:b/>
          <w:bCs/>
        </w:rPr>
        <w:t xml:space="preserve">externe </w:t>
      </w:r>
      <w:r w:rsidRPr="00EF697A">
        <w:rPr>
          <w:rFonts w:ascii="Open Sans" w:hAnsi="Open Sans" w:cs="Open Sans"/>
          <w:b/>
          <w:bCs/>
        </w:rPr>
        <w:t>sélectionné sera chargé de vérifier de manière indépendante les dépenses du Chef de file et du Partenaire 5. Chaque entité conclura un contrat distinct avec l’auditeur.</w:t>
      </w:r>
    </w:p>
    <w:p w14:paraId="499B051C" w14:textId="77777777" w:rsidR="00EF697A" w:rsidRDefault="00EF697A" w:rsidP="00EF697A">
      <w:pPr>
        <w:spacing w:after="0" w:line="240" w:lineRule="auto"/>
        <w:jc w:val="both"/>
        <w:rPr>
          <w:rFonts w:ascii="Open Sans" w:hAnsi="Open Sans" w:cs="Open Sans"/>
          <w:b/>
          <w:bCs/>
        </w:rPr>
      </w:pPr>
      <w:r w:rsidRPr="00EF697A">
        <w:rPr>
          <w:rFonts w:ascii="Open Sans" w:hAnsi="Open Sans" w:cs="Open Sans"/>
          <w:b/>
          <w:bCs/>
        </w:rPr>
        <w:t>Deux offres séparées devront donc être soumises pour l’audit de chacune des entités.</w:t>
      </w:r>
    </w:p>
    <w:p w14:paraId="70C1EA02" w14:textId="77777777" w:rsidR="00EF697A" w:rsidRDefault="00EF697A" w:rsidP="00EF697A">
      <w:pPr>
        <w:spacing w:after="0" w:line="240" w:lineRule="auto"/>
        <w:jc w:val="both"/>
        <w:rPr>
          <w:rFonts w:ascii="Open Sans" w:hAnsi="Open Sans" w:cs="Open Sans"/>
          <w:b/>
          <w:bCs/>
        </w:rPr>
      </w:pPr>
    </w:p>
    <w:p w14:paraId="437F2BFB" w14:textId="7F6A7EFF" w:rsidR="009C6A65" w:rsidRPr="00FD4A86" w:rsidRDefault="009C6A65" w:rsidP="00EF697A">
      <w:pPr>
        <w:spacing w:after="0" w:line="240" w:lineRule="auto"/>
        <w:jc w:val="both"/>
        <w:rPr>
          <w:rFonts w:ascii="Open Sans" w:hAnsi="Open Sans" w:cs="Open Sans"/>
        </w:rPr>
      </w:pPr>
      <w:r w:rsidRPr="00FD4A86">
        <w:rPr>
          <w:rFonts w:ascii="Open Sans" w:hAnsi="Open Sans" w:cs="Open Sans"/>
        </w:rPr>
        <w:t xml:space="preserve">Le présent appel d'offres est considéré comme un engagement contractuel. </w:t>
      </w:r>
      <w:r w:rsidR="005E692E">
        <w:rPr>
          <w:rFonts w:ascii="Open Sans" w:hAnsi="Open Sans" w:cs="Open Sans"/>
        </w:rPr>
        <w:t>L’auditeur externe</w:t>
      </w:r>
      <w:r w:rsidR="005E692E" w:rsidRPr="00FD4A86">
        <w:rPr>
          <w:rFonts w:ascii="Open Sans" w:hAnsi="Open Sans" w:cs="Open Sans"/>
        </w:rPr>
        <w:t xml:space="preserve"> </w:t>
      </w:r>
      <w:r w:rsidRPr="00FD4A86">
        <w:rPr>
          <w:rFonts w:ascii="Open Sans" w:hAnsi="Open Sans" w:cs="Open Sans"/>
        </w:rPr>
        <w:t>doit par conséquent en signer et dater chaque page, y compris l'offre technique, l'offre financière et tous les documents afférents.</w:t>
      </w:r>
    </w:p>
    <w:p w14:paraId="00C70ACA" w14:textId="77777777" w:rsidR="009C6A65" w:rsidRPr="00FD4A86" w:rsidRDefault="009C6A65" w:rsidP="00E904FA">
      <w:pPr>
        <w:spacing w:after="0" w:line="240" w:lineRule="auto"/>
        <w:jc w:val="both"/>
        <w:rPr>
          <w:rFonts w:ascii="Open Sans" w:hAnsi="Open Sans" w:cs="Open Sans"/>
        </w:rPr>
      </w:pPr>
      <w:r w:rsidRPr="00FD4A86">
        <w:rPr>
          <w:rFonts w:ascii="Open Sans" w:hAnsi="Open Sans" w:cs="Open Sans"/>
        </w:rPr>
        <w:t>Les offres soumises doivent tenir compte des éléments suivants :</w:t>
      </w:r>
    </w:p>
    <w:p w14:paraId="6EF5893F" w14:textId="24D94E2B" w:rsidR="009C6A65" w:rsidRPr="00FD4A86" w:rsidRDefault="009C6A65" w:rsidP="00E904FA">
      <w:pPr>
        <w:pStyle w:val="Paragraphedeliste"/>
        <w:numPr>
          <w:ilvl w:val="0"/>
          <w:numId w:val="3"/>
        </w:numPr>
        <w:spacing w:after="0" w:line="240" w:lineRule="auto"/>
        <w:jc w:val="both"/>
        <w:rPr>
          <w:rFonts w:ascii="Open Sans" w:hAnsi="Open Sans" w:cs="Open Sans"/>
        </w:rPr>
      </w:pPr>
      <w:r w:rsidRPr="00FD4A86">
        <w:rPr>
          <w:rFonts w:ascii="Open Sans" w:hAnsi="Open Sans" w:cs="Open Sans"/>
        </w:rPr>
        <w:t xml:space="preserve">Les </w:t>
      </w:r>
      <w:r w:rsidR="0034300C" w:rsidRPr="00FD4A86">
        <w:rPr>
          <w:rFonts w:ascii="Open Sans" w:hAnsi="Open Sans" w:cs="Open Sans"/>
        </w:rPr>
        <w:t>tarifs pour les prestations</w:t>
      </w:r>
      <w:r w:rsidRPr="00FD4A86">
        <w:rPr>
          <w:rFonts w:ascii="Open Sans" w:hAnsi="Open Sans" w:cs="Open Sans"/>
        </w:rPr>
        <w:t xml:space="preserve"> doivent être :</w:t>
      </w:r>
    </w:p>
    <w:p w14:paraId="5C9F39FC" w14:textId="172C8F49" w:rsidR="009C6A65" w:rsidRPr="00FD4A86" w:rsidRDefault="009C6A65" w:rsidP="00E904FA">
      <w:pPr>
        <w:pStyle w:val="Paragraphedeliste"/>
        <w:numPr>
          <w:ilvl w:val="1"/>
          <w:numId w:val="3"/>
        </w:numPr>
        <w:spacing w:after="0" w:line="240" w:lineRule="auto"/>
        <w:jc w:val="both"/>
        <w:rPr>
          <w:rFonts w:ascii="Open Sans" w:hAnsi="Open Sans" w:cs="Open Sans"/>
        </w:rPr>
      </w:pPr>
      <w:r w:rsidRPr="00FD4A86">
        <w:rPr>
          <w:rFonts w:ascii="Open Sans" w:hAnsi="Open Sans" w:cs="Open Sans"/>
        </w:rPr>
        <w:t>Libellés en dollars américains</w:t>
      </w:r>
      <w:r w:rsidR="004D6D44" w:rsidRPr="00FD4A86">
        <w:rPr>
          <w:rFonts w:ascii="Open Sans" w:hAnsi="Open Sans" w:cs="Open Sans"/>
        </w:rPr>
        <w:t xml:space="preserve"> ou en euros</w:t>
      </w:r>
      <w:r w:rsidRPr="00FD4A86">
        <w:rPr>
          <w:rFonts w:ascii="Open Sans" w:hAnsi="Open Sans" w:cs="Open Sans"/>
        </w:rPr>
        <w:t>, TTC ;</w:t>
      </w:r>
    </w:p>
    <w:p w14:paraId="638066EA" w14:textId="7A567F70" w:rsidR="009C6A65" w:rsidRPr="00FD4A86" w:rsidRDefault="00236BFE" w:rsidP="00E904FA">
      <w:pPr>
        <w:pStyle w:val="Paragraphedeliste"/>
        <w:numPr>
          <w:ilvl w:val="1"/>
          <w:numId w:val="3"/>
        </w:numPr>
        <w:spacing w:after="0" w:line="240" w:lineRule="auto"/>
        <w:jc w:val="both"/>
        <w:rPr>
          <w:rFonts w:ascii="Open Sans" w:hAnsi="Open Sans" w:cs="Open Sans"/>
        </w:rPr>
      </w:pPr>
      <w:r w:rsidRPr="00FD4A86">
        <w:rPr>
          <w:rFonts w:ascii="Open Sans" w:hAnsi="Open Sans" w:cs="Open Sans"/>
        </w:rPr>
        <w:t xml:space="preserve">Définitifs, non modifiables </w:t>
      </w:r>
      <w:r w:rsidR="009C6A65" w:rsidRPr="00FD4A86">
        <w:rPr>
          <w:rFonts w:ascii="Open Sans" w:hAnsi="Open Sans" w:cs="Open Sans"/>
        </w:rPr>
        <w:t>et non révisables.</w:t>
      </w:r>
    </w:p>
    <w:p w14:paraId="4FF90E33" w14:textId="77777777" w:rsidR="009C6A65" w:rsidRPr="00FD4A86" w:rsidRDefault="009C6A65" w:rsidP="00E904FA">
      <w:pPr>
        <w:pStyle w:val="Paragraphedeliste"/>
        <w:numPr>
          <w:ilvl w:val="0"/>
          <w:numId w:val="3"/>
        </w:numPr>
        <w:spacing w:after="0" w:line="240" w:lineRule="auto"/>
        <w:jc w:val="both"/>
        <w:rPr>
          <w:rFonts w:ascii="Open Sans" w:hAnsi="Open Sans" w:cs="Open Sans"/>
        </w:rPr>
      </w:pPr>
      <w:r w:rsidRPr="00FD4A86">
        <w:rPr>
          <w:rFonts w:ascii="Open Sans" w:hAnsi="Open Sans" w:cs="Open Sans"/>
        </w:rPr>
        <w:t xml:space="preserve">Les dossiers soumis ne peuvent en aucun cas être modifiés. </w:t>
      </w:r>
    </w:p>
    <w:p w14:paraId="62B7A1B6" w14:textId="77777777" w:rsidR="00E904FA" w:rsidRDefault="00E904FA" w:rsidP="00E904FA">
      <w:pPr>
        <w:spacing w:after="0" w:line="240" w:lineRule="auto"/>
        <w:jc w:val="both"/>
        <w:rPr>
          <w:rFonts w:ascii="Open Sans" w:hAnsi="Open Sans" w:cs="Open Sans"/>
        </w:rPr>
      </w:pPr>
    </w:p>
    <w:p w14:paraId="54787142" w14:textId="1F0187E0" w:rsidR="00D664C9" w:rsidRPr="00FD4A86" w:rsidRDefault="00AD4474" w:rsidP="00E904FA">
      <w:pPr>
        <w:spacing w:after="0" w:line="240" w:lineRule="auto"/>
        <w:jc w:val="both"/>
        <w:rPr>
          <w:rFonts w:ascii="Open Sans" w:hAnsi="Open Sans" w:cs="Open Sans"/>
        </w:rPr>
      </w:pPr>
      <w:r w:rsidRPr="00FD4A86">
        <w:rPr>
          <w:rFonts w:ascii="Open Sans" w:hAnsi="Open Sans" w:cs="Open Sans"/>
        </w:rPr>
        <w:t xml:space="preserve">Les </w:t>
      </w:r>
      <w:r w:rsidR="002B54B3">
        <w:rPr>
          <w:rFonts w:ascii="Open Sans" w:hAnsi="Open Sans" w:cs="Open Sans"/>
        </w:rPr>
        <w:t>cabinet</w:t>
      </w:r>
      <w:r w:rsidR="006E3F46">
        <w:rPr>
          <w:rFonts w:ascii="Open Sans" w:hAnsi="Open Sans" w:cs="Open Sans"/>
        </w:rPr>
        <w:t>s</w:t>
      </w:r>
      <w:r w:rsidR="002B54B3">
        <w:rPr>
          <w:rFonts w:ascii="Open Sans" w:hAnsi="Open Sans" w:cs="Open Sans"/>
        </w:rPr>
        <w:t xml:space="preserve"> d’audit</w:t>
      </w:r>
      <w:r w:rsidR="002B54B3" w:rsidRPr="00FD4A86">
        <w:rPr>
          <w:rFonts w:ascii="Open Sans" w:hAnsi="Open Sans" w:cs="Open Sans"/>
        </w:rPr>
        <w:t xml:space="preserve"> </w:t>
      </w:r>
      <w:r w:rsidRPr="00FD4A86">
        <w:rPr>
          <w:rFonts w:ascii="Open Sans" w:hAnsi="Open Sans" w:cs="Open Sans"/>
        </w:rPr>
        <w:t>intéressés devront soumettre un dossier comprenant :</w:t>
      </w:r>
    </w:p>
    <w:p w14:paraId="3502837E" w14:textId="0607F372" w:rsidR="00AD4474" w:rsidRPr="00FD4A86" w:rsidRDefault="003A696F" w:rsidP="00E904FA">
      <w:pPr>
        <w:pStyle w:val="Paragraphedeliste"/>
        <w:numPr>
          <w:ilvl w:val="0"/>
          <w:numId w:val="3"/>
        </w:numPr>
        <w:spacing w:after="0" w:line="240" w:lineRule="auto"/>
        <w:jc w:val="both"/>
        <w:rPr>
          <w:rFonts w:ascii="Open Sans" w:hAnsi="Open Sans" w:cs="Open Sans"/>
        </w:rPr>
      </w:pPr>
      <w:r w:rsidRPr="00FD4A86">
        <w:rPr>
          <w:rFonts w:ascii="Open Sans" w:hAnsi="Open Sans" w:cs="Open Sans"/>
        </w:rPr>
        <w:t>Présentation</w:t>
      </w:r>
      <w:r w:rsidR="00AD4474" w:rsidRPr="00FD4A86">
        <w:rPr>
          <w:rFonts w:ascii="Open Sans" w:hAnsi="Open Sans" w:cs="Open Sans"/>
        </w:rPr>
        <w:t xml:space="preserve"> de l’agence (historique, références, </w:t>
      </w:r>
      <w:r w:rsidR="00566416" w:rsidRPr="00FD4A86">
        <w:rPr>
          <w:rFonts w:ascii="Open Sans" w:hAnsi="Open Sans" w:cs="Open Sans"/>
        </w:rPr>
        <w:t>certifications</w:t>
      </w:r>
      <w:r w:rsidR="00AD4474" w:rsidRPr="00FD4A86">
        <w:rPr>
          <w:rFonts w:ascii="Open Sans" w:hAnsi="Open Sans" w:cs="Open Sans"/>
        </w:rPr>
        <w:t>)</w:t>
      </w:r>
      <w:r w:rsidR="00570339">
        <w:rPr>
          <w:rFonts w:ascii="Open Sans" w:hAnsi="Open Sans" w:cs="Open Sans"/>
        </w:rPr>
        <w:t> ;</w:t>
      </w:r>
    </w:p>
    <w:p w14:paraId="48E0E8E9" w14:textId="72A6A0A5" w:rsidR="00AD4474" w:rsidRPr="00FD4A86" w:rsidRDefault="00023AEE" w:rsidP="00E904FA">
      <w:pPr>
        <w:pStyle w:val="Paragraphedeliste"/>
        <w:numPr>
          <w:ilvl w:val="0"/>
          <w:numId w:val="3"/>
        </w:numPr>
        <w:spacing w:after="0" w:line="240" w:lineRule="auto"/>
        <w:jc w:val="both"/>
        <w:rPr>
          <w:rFonts w:ascii="Open Sans" w:hAnsi="Open Sans" w:cs="Open Sans"/>
        </w:rPr>
      </w:pPr>
      <w:r w:rsidRPr="00FD4A86">
        <w:rPr>
          <w:rFonts w:ascii="Open Sans" w:hAnsi="Open Sans" w:cs="Open Sans"/>
        </w:rPr>
        <w:t>Proposition financière détaillée, incluant les frais de service et les conditions tarifaires</w:t>
      </w:r>
      <w:r w:rsidR="00570339">
        <w:rPr>
          <w:rFonts w:ascii="Open Sans" w:hAnsi="Open Sans" w:cs="Open Sans"/>
        </w:rPr>
        <w:t> ;</w:t>
      </w:r>
    </w:p>
    <w:p w14:paraId="7D03BA57" w14:textId="060C18F7" w:rsidR="0083311D" w:rsidRPr="00FD4A86" w:rsidRDefault="00FE72AA" w:rsidP="00E904FA">
      <w:pPr>
        <w:pStyle w:val="Paragraphedeliste"/>
        <w:numPr>
          <w:ilvl w:val="0"/>
          <w:numId w:val="3"/>
        </w:numPr>
        <w:spacing w:after="0" w:line="240" w:lineRule="auto"/>
        <w:jc w:val="both"/>
        <w:rPr>
          <w:rFonts w:ascii="Open Sans" w:hAnsi="Open Sans" w:cs="Open Sans"/>
        </w:rPr>
      </w:pPr>
      <w:r w:rsidRPr="00FD4A86">
        <w:rPr>
          <w:rFonts w:ascii="Open Sans" w:hAnsi="Open Sans" w:cs="Open Sans"/>
        </w:rPr>
        <w:t>Exemplaire de facture</w:t>
      </w:r>
      <w:r w:rsidR="00077613" w:rsidRPr="00FD4A86">
        <w:rPr>
          <w:rFonts w:ascii="Open Sans" w:hAnsi="Open Sans" w:cs="Open Sans"/>
        </w:rPr>
        <w:t>.</w:t>
      </w:r>
    </w:p>
    <w:p w14:paraId="6B44421E" w14:textId="77777777" w:rsidR="00E904FA" w:rsidRDefault="00E904FA" w:rsidP="00E904FA">
      <w:pPr>
        <w:spacing w:after="0" w:line="240" w:lineRule="auto"/>
        <w:jc w:val="both"/>
        <w:rPr>
          <w:rFonts w:ascii="Open Sans" w:hAnsi="Open Sans" w:cs="Open Sans"/>
        </w:rPr>
      </w:pPr>
    </w:p>
    <w:p w14:paraId="21232A4C" w14:textId="2806947C" w:rsidR="007E5822" w:rsidRPr="007E5822" w:rsidRDefault="007E5822" w:rsidP="007E5822">
      <w:pPr>
        <w:ind w:left="80"/>
        <w:jc w:val="both"/>
        <w:rPr>
          <w:rFonts w:ascii="Open Sans" w:hAnsi="Open Sans" w:cs="Open Sans"/>
          <w:b/>
          <w:bCs/>
          <w:color w:val="0070C0"/>
        </w:rPr>
      </w:pPr>
      <w:r w:rsidRPr="007E5822">
        <w:rPr>
          <w:rFonts w:ascii="Open Sans" w:hAnsi="Open Sans" w:cs="Open Sans"/>
          <w:b/>
          <w:bCs/>
          <w:color w:val="0070C0"/>
        </w:rPr>
        <w:t>L</w:t>
      </w:r>
      <w:r w:rsidR="00C47EB4">
        <w:rPr>
          <w:rFonts w:ascii="Open Sans" w:hAnsi="Open Sans" w:cs="Open Sans"/>
          <w:b/>
          <w:bCs/>
          <w:color w:val="0070C0"/>
        </w:rPr>
        <w:t xml:space="preserve">es </w:t>
      </w:r>
      <w:r w:rsidRPr="007E5822">
        <w:rPr>
          <w:rFonts w:ascii="Open Sans" w:hAnsi="Open Sans" w:cs="Open Sans"/>
          <w:b/>
          <w:bCs/>
          <w:color w:val="0070C0"/>
        </w:rPr>
        <w:t>offre</w:t>
      </w:r>
      <w:r w:rsidR="00C47EB4">
        <w:rPr>
          <w:rFonts w:ascii="Open Sans" w:hAnsi="Open Sans" w:cs="Open Sans"/>
          <w:b/>
          <w:bCs/>
          <w:color w:val="0070C0"/>
        </w:rPr>
        <w:t>s</w:t>
      </w:r>
      <w:r w:rsidRPr="007E5822">
        <w:rPr>
          <w:rFonts w:ascii="Open Sans" w:hAnsi="Open Sans" w:cs="Open Sans"/>
          <w:b/>
          <w:bCs/>
          <w:color w:val="0070C0"/>
        </w:rPr>
        <w:t xml:space="preserve"> ne devr</w:t>
      </w:r>
      <w:r w:rsidR="00C47EB4">
        <w:rPr>
          <w:rFonts w:ascii="Open Sans" w:hAnsi="Open Sans" w:cs="Open Sans"/>
          <w:b/>
          <w:bCs/>
          <w:color w:val="0070C0"/>
        </w:rPr>
        <w:t>ont</w:t>
      </w:r>
      <w:r w:rsidRPr="007E5822">
        <w:rPr>
          <w:rFonts w:ascii="Open Sans" w:hAnsi="Open Sans" w:cs="Open Sans"/>
          <w:b/>
          <w:bCs/>
          <w:color w:val="0070C0"/>
        </w:rPr>
        <w:t xml:space="preserve"> pas dépasser les montants suivants </w:t>
      </w:r>
      <w:r w:rsidR="00955979">
        <w:rPr>
          <w:rFonts w:ascii="Open Sans" w:hAnsi="Open Sans" w:cs="Open Sans"/>
          <w:b/>
          <w:bCs/>
          <w:color w:val="0070C0"/>
        </w:rPr>
        <w:t xml:space="preserve">pour l’ensembles des 6 audits </w:t>
      </w:r>
      <w:r w:rsidRPr="007E5822">
        <w:rPr>
          <w:rFonts w:ascii="Open Sans" w:hAnsi="Open Sans" w:cs="Open Sans"/>
          <w:b/>
          <w:bCs/>
          <w:color w:val="0070C0"/>
        </w:rPr>
        <w:t>:</w:t>
      </w:r>
    </w:p>
    <w:p w14:paraId="4A41571A" w14:textId="1D184980" w:rsidR="007E5822" w:rsidRPr="007E5822" w:rsidRDefault="00C47EB4" w:rsidP="007E5822">
      <w:pPr>
        <w:pStyle w:val="Paragraphedeliste"/>
        <w:numPr>
          <w:ilvl w:val="0"/>
          <w:numId w:val="3"/>
        </w:numPr>
        <w:jc w:val="both"/>
        <w:rPr>
          <w:rFonts w:ascii="Open Sans" w:hAnsi="Open Sans" w:cs="Open Sans"/>
          <w:b/>
          <w:bCs/>
          <w:color w:val="0070C0"/>
        </w:rPr>
      </w:pPr>
      <w:r>
        <w:rPr>
          <w:rFonts w:ascii="Open Sans" w:hAnsi="Open Sans" w:cs="Open Sans"/>
          <w:b/>
          <w:bCs/>
          <w:color w:val="0070C0"/>
        </w:rPr>
        <w:t>Pour l’</w:t>
      </w:r>
      <w:r w:rsidR="007E5822" w:rsidRPr="007E5822">
        <w:rPr>
          <w:rFonts w:ascii="Open Sans" w:hAnsi="Open Sans" w:cs="Open Sans"/>
          <w:b/>
          <w:bCs/>
          <w:color w:val="0070C0"/>
        </w:rPr>
        <w:t xml:space="preserve">Agence Universitaire de la Francophonie : </w:t>
      </w:r>
      <w:r w:rsidR="00727BA8">
        <w:rPr>
          <w:rFonts w:ascii="Open Sans" w:hAnsi="Open Sans" w:cs="Open Sans"/>
          <w:b/>
          <w:bCs/>
          <w:color w:val="0070C0"/>
        </w:rPr>
        <w:t xml:space="preserve">10 000 </w:t>
      </w:r>
      <w:r w:rsidR="007E5822" w:rsidRPr="007E5822">
        <w:rPr>
          <w:rFonts w:ascii="Open Sans" w:hAnsi="Open Sans" w:cs="Open Sans"/>
          <w:b/>
          <w:bCs/>
          <w:color w:val="0070C0"/>
        </w:rPr>
        <w:t>euros ;</w:t>
      </w:r>
    </w:p>
    <w:p w14:paraId="1C296802" w14:textId="00DCCA76" w:rsidR="007E5822" w:rsidRPr="007E5822" w:rsidRDefault="00C47EB4" w:rsidP="007E5822">
      <w:pPr>
        <w:pStyle w:val="Paragraphedeliste"/>
        <w:numPr>
          <w:ilvl w:val="0"/>
          <w:numId w:val="3"/>
        </w:numPr>
        <w:jc w:val="both"/>
        <w:rPr>
          <w:rFonts w:ascii="Open Sans" w:hAnsi="Open Sans" w:cs="Open Sans"/>
          <w:b/>
          <w:bCs/>
          <w:color w:val="0070C0"/>
        </w:rPr>
      </w:pPr>
      <w:r>
        <w:rPr>
          <w:rFonts w:ascii="Open Sans" w:hAnsi="Open Sans" w:cs="Open Sans"/>
          <w:b/>
          <w:bCs/>
          <w:color w:val="0070C0"/>
        </w:rPr>
        <w:t xml:space="preserve">Pour </w:t>
      </w:r>
      <w:r w:rsidR="007E5822" w:rsidRPr="007E5822">
        <w:rPr>
          <w:rFonts w:ascii="Open Sans" w:hAnsi="Open Sans" w:cs="Open Sans"/>
          <w:b/>
          <w:bCs/>
          <w:color w:val="0070C0"/>
        </w:rPr>
        <w:t xml:space="preserve">Forward </w:t>
      </w:r>
      <w:r w:rsidR="006E3F46">
        <w:rPr>
          <w:rFonts w:ascii="Open Sans" w:hAnsi="Open Sans" w:cs="Open Sans"/>
          <w:b/>
          <w:bCs/>
          <w:color w:val="0070C0"/>
        </w:rPr>
        <w:t xml:space="preserve">Digital </w:t>
      </w:r>
      <w:r w:rsidR="007E5822" w:rsidRPr="007E5822">
        <w:rPr>
          <w:rFonts w:ascii="Open Sans" w:hAnsi="Open Sans" w:cs="Open Sans"/>
          <w:b/>
          <w:bCs/>
          <w:color w:val="0070C0"/>
        </w:rPr>
        <w:t>M</w:t>
      </w:r>
      <w:r w:rsidR="006E3F46">
        <w:rPr>
          <w:rFonts w:ascii="Open Sans" w:hAnsi="Open Sans" w:cs="Open Sans"/>
          <w:b/>
          <w:bCs/>
          <w:color w:val="0070C0"/>
        </w:rPr>
        <w:t>ena</w:t>
      </w:r>
      <w:r w:rsidR="007E5822" w:rsidRPr="007E5822">
        <w:rPr>
          <w:rFonts w:ascii="Open Sans" w:hAnsi="Open Sans" w:cs="Open Sans"/>
          <w:b/>
          <w:bCs/>
          <w:color w:val="0070C0"/>
        </w:rPr>
        <w:t xml:space="preserve"> : </w:t>
      </w:r>
      <w:r w:rsidR="00727BA8">
        <w:rPr>
          <w:rFonts w:ascii="Open Sans" w:hAnsi="Open Sans" w:cs="Open Sans"/>
          <w:b/>
          <w:bCs/>
          <w:color w:val="0070C0"/>
        </w:rPr>
        <w:t>5 000</w:t>
      </w:r>
      <w:r w:rsidR="007E5822" w:rsidRPr="007E5822">
        <w:rPr>
          <w:rFonts w:ascii="Open Sans" w:hAnsi="Open Sans" w:cs="Open Sans"/>
          <w:b/>
          <w:bCs/>
          <w:color w:val="0070C0"/>
        </w:rPr>
        <w:t xml:space="preserve"> euros.</w:t>
      </w:r>
    </w:p>
    <w:p w14:paraId="39D7A6B4" w14:textId="77777777" w:rsidR="007E5822" w:rsidRDefault="007E5822" w:rsidP="00E904FA">
      <w:pPr>
        <w:spacing w:after="0" w:line="240" w:lineRule="auto"/>
        <w:jc w:val="both"/>
        <w:rPr>
          <w:rFonts w:ascii="Open Sans" w:hAnsi="Open Sans" w:cs="Open Sans"/>
        </w:rPr>
      </w:pPr>
    </w:p>
    <w:p w14:paraId="07E1D7AB" w14:textId="21D45EC4" w:rsidR="0077221D" w:rsidRDefault="004E69DC" w:rsidP="00E904FA">
      <w:pPr>
        <w:spacing w:after="0" w:line="240" w:lineRule="auto"/>
        <w:jc w:val="both"/>
        <w:rPr>
          <w:rFonts w:ascii="Open Sans" w:hAnsi="Open Sans" w:cs="Open Sans"/>
        </w:rPr>
      </w:pPr>
      <w:r w:rsidRPr="00FD4A86">
        <w:rPr>
          <w:rFonts w:ascii="Open Sans" w:hAnsi="Open Sans" w:cs="Open Sans"/>
        </w:rPr>
        <w:t>Si</w:t>
      </w:r>
      <w:r w:rsidR="0077221D" w:rsidRPr="00FD4A86">
        <w:rPr>
          <w:rFonts w:ascii="Open Sans" w:hAnsi="Open Sans" w:cs="Open Sans"/>
        </w:rPr>
        <w:t xml:space="preserve"> l'un des documents énumérés ci-dessus est manquant ou incomplet, l'offre sera jugée non conforme et sera rejetée.</w:t>
      </w:r>
      <w:r w:rsidR="0083311D" w:rsidRPr="00FD4A86">
        <w:rPr>
          <w:rFonts w:ascii="Open Sans" w:hAnsi="Open Sans" w:cs="Open Sans"/>
        </w:rPr>
        <w:t xml:space="preserve"> </w:t>
      </w:r>
    </w:p>
    <w:p w14:paraId="599E1D3C" w14:textId="77777777" w:rsidR="00E904FA" w:rsidRPr="00FD4A86" w:rsidRDefault="00E904FA" w:rsidP="00E904FA">
      <w:pPr>
        <w:spacing w:after="0" w:line="240" w:lineRule="auto"/>
        <w:jc w:val="both"/>
        <w:rPr>
          <w:rFonts w:ascii="Open Sans" w:hAnsi="Open Sans" w:cs="Open Sans"/>
        </w:rPr>
      </w:pPr>
    </w:p>
    <w:p w14:paraId="111461D0" w14:textId="0A4A7606" w:rsidR="00445395" w:rsidRPr="00FD4A86" w:rsidRDefault="00B06C80" w:rsidP="000D4A41">
      <w:pPr>
        <w:pStyle w:val="Paragraphedeliste"/>
        <w:numPr>
          <w:ilvl w:val="0"/>
          <w:numId w:val="5"/>
        </w:numPr>
        <w:jc w:val="both"/>
        <w:rPr>
          <w:rFonts w:ascii="Open Sans" w:hAnsi="Open Sans" w:cs="Open Sans"/>
          <w:b/>
          <w:bCs/>
        </w:rPr>
      </w:pPr>
      <w:r w:rsidRPr="00FD4A86">
        <w:rPr>
          <w:rFonts w:ascii="Open Sans" w:hAnsi="Open Sans" w:cs="Open Sans"/>
          <w:b/>
          <w:bCs/>
        </w:rPr>
        <w:t>Modalités de soumission</w:t>
      </w:r>
    </w:p>
    <w:p w14:paraId="6F60A7D4" w14:textId="6593EBD3" w:rsidR="00C47EB4" w:rsidRDefault="005A5784" w:rsidP="004169CD">
      <w:pPr>
        <w:jc w:val="both"/>
        <w:rPr>
          <w:rFonts w:ascii="Open Sans" w:hAnsi="Open Sans" w:cs="Open Sans"/>
        </w:rPr>
      </w:pPr>
      <w:r w:rsidRPr="00FD4A86">
        <w:rPr>
          <w:rFonts w:ascii="Open Sans" w:hAnsi="Open Sans" w:cs="Open Sans"/>
        </w:rPr>
        <w:t xml:space="preserve">Les dossiers de candidature doivent être </w:t>
      </w:r>
      <w:r w:rsidR="00B27B43" w:rsidRPr="00FD4A86">
        <w:rPr>
          <w:rFonts w:ascii="Open Sans" w:hAnsi="Open Sans" w:cs="Open Sans"/>
        </w:rPr>
        <w:t xml:space="preserve">envoyés par </w:t>
      </w:r>
      <w:r w:rsidR="00F0052A" w:rsidRPr="00FD4A86">
        <w:rPr>
          <w:rFonts w:ascii="Open Sans" w:hAnsi="Open Sans" w:cs="Open Sans"/>
        </w:rPr>
        <w:t>courrier électronique</w:t>
      </w:r>
      <w:r w:rsidR="00B27B43" w:rsidRPr="00FD4A86">
        <w:rPr>
          <w:rFonts w:ascii="Open Sans" w:hAnsi="Open Sans" w:cs="Open Sans"/>
        </w:rPr>
        <w:t xml:space="preserve"> </w:t>
      </w:r>
      <w:r w:rsidR="004169CD" w:rsidRPr="00451821">
        <w:rPr>
          <w:rFonts w:ascii="Open Sans" w:hAnsi="Open Sans" w:cs="Open Sans"/>
        </w:rPr>
        <w:t xml:space="preserve">avec en objet : « Audit – Projet </w:t>
      </w:r>
      <w:r w:rsidR="004169CD" w:rsidRPr="00FD4A86">
        <w:rPr>
          <w:rFonts w:ascii="Open Sans" w:hAnsi="Open Sans" w:cs="Open Sans"/>
        </w:rPr>
        <w:t>EUSEEDS_A_T_3.1_0172</w:t>
      </w:r>
      <w:r w:rsidR="004169CD" w:rsidRPr="00451821">
        <w:rPr>
          <w:rFonts w:ascii="Open Sans" w:hAnsi="Open Sans" w:cs="Open Sans"/>
        </w:rPr>
        <w:t> »</w:t>
      </w:r>
      <w:r w:rsidR="004169CD">
        <w:rPr>
          <w:rFonts w:ascii="Open Sans" w:hAnsi="Open Sans" w:cs="Open Sans"/>
        </w:rPr>
        <w:t xml:space="preserve">, </w:t>
      </w:r>
      <w:r w:rsidR="00B27B43" w:rsidRPr="00FD4A86">
        <w:rPr>
          <w:rFonts w:ascii="Open Sans" w:hAnsi="Open Sans" w:cs="Open Sans"/>
        </w:rPr>
        <w:t xml:space="preserve">à l’adresse </w:t>
      </w:r>
      <w:r w:rsidR="00BB3CA4" w:rsidRPr="00FD4A86">
        <w:rPr>
          <w:rFonts w:ascii="Open Sans" w:hAnsi="Open Sans" w:cs="Open Sans"/>
        </w:rPr>
        <w:t xml:space="preserve">électronique </w:t>
      </w:r>
      <w:r w:rsidR="00B27B43" w:rsidRPr="00FD4A86">
        <w:rPr>
          <w:rFonts w:ascii="Open Sans" w:hAnsi="Open Sans" w:cs="Open Sans"/>
        </w:rPr>
        <w:t>suivante</w:t>
      </w:r>
      <w:r w:rsidR="00C47EB4">
        <w:rPr>
          <w:rFonts w:ascii="Open Sans" w:hAnsi="Open Sans" w:cs="Open Sans"/>
        </w:rPr>
        <w:t> :</w:t>
      </w:r>
    </w:p>
    <w:p w14:paraId="15E13B28" w14:textId="29501D91" w:rsidR="00C47EB4" w:rsidRPr="004169CD" w:rsidRDefault="00CF268D" w:rsidP="004169CD">
      <w:pPr>
        <w:pStyle w:val="Paragraphedeliste"/>
        <w:numPr>
          <w:ilvl w:val="0"/>
          <w:numId w:val="3"/>
        </w:numPr>
        <w:jc w:val="both"/>
        <w:rPr>
          <w:rFonts w:ascii="Open Sans" w:hAnsi="Open Sans" w:cs="Open Sans"/>
        </w:rPr>
      </w:pPr>
      <w:hyperlink r:id="rId11">
        <w:r w:rsidRPr="7879E159">
          <w:rPr>
            <w:rStyle w:val="Lienhypertexte"/>
            <w:rFonts w:ascii="Open Sans" w:hAnsi="Open Sans" w:cs="Open Sans"/>
          </w:rPr>
          <w:t>euseeds@auf.org</w:t>
        </w:r>
      </w:hyperlink>
      <w:r w:rsidRPr="7879E159">
        <w:rPr>
          <w:rFonts w:ascii="Open Sans" w:hAnsi="Open Sans" w:cs="Open Sans"/>
        </w:rPr>
        <w:t xml:space="preserve"> </w:t>
      </w:r>
      <w:r w:rsidR="00C47EB4" w:rsidRPr="7879E159">
        <w:rPr>
          <w:rFonts w:ascii="Open Sans" w:hAnsi="Open Sans" w:cs="Open Sans"/>
        </w:rPr>
        <w:t>pour l’Agence universitaire de la Francop</w:t>
      </w:r>
      <w:r w:rsidR="54F28C61" w:rsidRPr="7879E159">
        <w:rPr>
          <w:rFonts w:ascii="Open Sans" w:hAnsi="Open Sans" w:cs="Open Sans"/>
        </w:rPr>
        <w:t>h</w:t>
      </w:r>
      <w:r w:rsidR="00C47EB4" w:rsidRPr="7879E159">
        <w:rPr>
          <w:rFonts w:ascii="Open Sans" w:hAnsi="Open Sans" w:cs="Open Sans"/>
        </w:rPr>
        <w:t>onie ;</w:t>
      </w:r>
    </w:p>
    <w:p w14:paraId="55FDE2F2" w14:textId="5B61406D" w:rsidR="004169CD" w:rsidRPr="004169CD" w:rsidRDefault="00373497" w:rsidP="00373497">
      <w:pPr>
        <w:pStyle w:val="Paragraphedeliste"/>
        <w:numPr>
          <w:ilvl w:val="0"/>
          <w:numId w:val="3"/>
        </w:numPr>
        <w:jc w:val="both"/>
        <w:rPr>
          <w:rFonts w:ascii="Open Sans" w:hAnsi="Open Sans" w:cs="Open Sans"/>
        </w:rPr>
      </w:pPr>
      <w:hyperlink r:id="rId12" w:history="1">
        <w:r w:rsidRPr="00373497">
          <w:rPr>
            <w:rStyle w:val="Lienhypertexte"/>
            <w:rFonts w:ascii="Open Sans" w:hAnsi="Open Sans" w:cs="Open Sans"/>
          </w:rPr>
          <w:t>info@forwardmena.org</w:t>
        </w:r>
      </w:hyperlink>
      <w:r>
        <w:rPr>
          <w:rFonts w:ascii="Open Sans" w:hAnsi="Open Sans" w:cs="Open Sans"/>
        </w:rPr>
        <w:t xml:space="preserve"> </w:t>
      </w:r>
      <w:r w:rsidR="004169CD" w:rsidRPr="004169CD">
        <w:rPr>
          <w:rFonts w:ascii="Open Sans" w:hAnsi="Open Sans" w:cs="Open Sans"/>
        </w:rPr>
        <w:t>pour Forward Digital Mena ;</w:t>
      </w:r>
    </w:p>
    <w:p w14:paraId="7EA1B898" w14:textId="2F0C8649" w:rsidR="0021286C" w:rsidRPr="00FD4A86" w:rsidRDefault="00996B44" w:rsidP="00A93CC4">
      <w:pPr>
        <w:jc w:val="both"/>
        <w:rPr>
          <w:rFonts w:ascii="Open Sans" w:hAnsi="Open Sans" w:cs="Open Sans"/>
          <w:color w:val="990000"/>
        </w:rPr>
      </w:pPr>
      <w:r w:rsidRPr="00FD4A86">
        <w:rPr>
          <w:rFonts w:ascii="Open Sans" w:hAnsi="Open Sans" w:cs="Open Sans"/>
          <w:b/>
          <w:bCs/>
          <w:color w:val="990000"/>
        </w:rPr>
        <w:t>Date limite :</w:t>
      </w:r>
      <w:r w:rsidRPr="00FD4A86">
        <w:rPr>
          <w:rFonts w:ascii="Open Sans" w:hAnsi="Open Sans" w:cs="Open Sans"/>
          <w:color w:val="990000"/>
        </w:rPr>
        <w:t xml:space="preserve"> </w:t>
      </w:r>
      <w:r w:rsidR="004D6D44" w:rsidRPr="00FD4A86">
        <w:rPr>
          <w:rFonts w:ascii="Open Sans" w:hAnsi="Open Sans" w:cs="Open Sans"/>
          <w:b/>
          <w:bCs/>
          <w:color w:val="990000"/>
          <w:u w:val="single"/>
        </w:rPr>
        <w:t>vendredi</w:t>
      </w:r>
      <w:r w:rsidR="00594A90" w:rsidRPr="00FD4A86">
        <w:rPr>
          <w:rFonts w:ascii="Open Sans" w:hAnsi="Open Sans" w:cs="Open Sans"/>
          <w:b/>
          <w:bCs/>
          <w:color w:val="990000"/>
          <w:u w:val="single"/>
        </w:rPr>
        <w:t xml:space="preserve"> </w:t>
      </w:r>
      <w:r w:rsidR="004D6D44" w:rsidRPr="00FD4A86">
        <w:rPr>
          <w:rFonts w:ascii="Open Sans" w:hAnsi="Open Sans" w:cs="Open Sans"/>
          <w:b/>
          <w:bCs/>
          <w:color w:val="990000"/>
          <w:u w:val="single"/>
        </w:rPr>
        <w:t>09 janvier</w:t>
      </w:r>
      <w:r w:rsidR="00594A90" w:rsidRPr="00FD4A86">
        <w:rPr>
          <w:rFonts w:ascii="Open Sans" w:hAnsi="Open Sans" w:cs="Open Sans"/>
          <w:b/>
          <w:bCs/>
          <w:color w:val="990000"/>
          <w:u w:val="single"/>
        </w:rPr>
        <w:t xml:space="preserve"> 202</w:t>
      </w:r>
      <w:r w:rsidR="004D6D44" w:rsidRPr="00FD4A86">
        <w:rPr>
          <w:rFonts w:ascii="Open Sans" w:hAnsi="Open Sans" w:cs="Open Sans"/>
          <w:b/>
          <w:bCs/>
          <w:color w:val="990000"/>
          <w:u w:val="single"/>
        </w:rPr>
        <w:t>6</w:t>
      </w:r>
    </w:p>
    <w:p w14:paraId="32B15DE2" w14:textId="0B1F7111" w:rsidR="00836A83" w:rsidRPr="00FD4A86" w:rsidRDefault="00836A83" w:rsidP="000D4A41">
      <w:pPr>
        <w:pStyle w:val="Paragraphedeliste"/>
        <w:numPr>
          <w:ilvl w:val="0"/>
          <w:numId w:val="5"/>
        </w:numPr>
        <w:jc w:val="both"/>
        <w:rPr>
          <w:rFonts w:ascii="Open Sans" w:hAnsi="Open Sans" w:cs="Open Sans"/>
          <w:b/>
          <w:bCs/>
        </w:rPr>
      </w:pPr>
      <w:r w:rsidRPr="00FD4A86">
        <w:rPr>
          <w:rFonts w:ascii="Open Sans" w:hAnsi="Open Sans" w:cs="Open Sans"/>
          <w:b/>
          <w:bCs/>
        </w:rPr>
        <w:t>Confidentialité</w:t>
      </w:r>
    </w:p>
    <w:p w14:paraId="48231171" w14:textId="0E450997" w:rsidR="000431BD" w:rsidRPr="00FD4A86" w:rsidRDefault="002B54B3" w:rsidP="00E904FA">
      <w:pPr>
        <w:spacing w:after="0" w:line="240" w:lineRule="auto"/>
        <w:jc w:val="both"/>
        <w:rPr>
          <w:rFonts w:ascii="Open Sans" w:hAnsi="Open Sans" w:cs="Open Sans"/>
        </w:rPr>
      </w:pPr>
      <w:r>
        <w:rPr>
          <w:rFonts w:ascii="Open Sans" w:hAnsi="Open Sans" w:cs="Open Sans"/>
        </w:rPr>
        <w:t>L’auditeur externe</w:t>
      </w:r>
      <w:r w:rsidRPr="00FD4A86">
        <w:rPr>
          <w:rFonts w:ascii="Open Sans" w:hAnsi="Open Sans" w:cs="Open Sans"/>
        </w:rPr>
        <w:t xml:space="preserve"> </w:t>
      </w:r>
      <w:r w:rsidR="000431BD" w:rsidRPr="00FD4A86">
        <w:rPr>
          <w:rFonts w:ascii="Open Sans" w:hAnsi="Open Sans" w:cs="Open Sans"/>
        </w:rPr>
        <w:t>s’engage à la stricte confidentialité de toutes les informations échangées dans le cadre du contrat, y compris les données personnelles.</w:t>
      </w:r>
    </w:p>
    <w:p w14:paraId="375C83C7" w14:textId="77777777" w:rsidR="00E904FA" w:rsidRPr="00B3680C" w:rsidRDefault="00E904FA" w:rsidP="00E904FA">
      <w:pPr>
        <w:spacing w:after="0" w:line="240" w:lineRule="auto"/>
        <w:jc w:val="both"/>
        <w:rPr>
          <w:rFonts w:ascii="Open Sans" w:hAnsi="Open Sans" w:cs="Open Sans"/>
        </w:rPr>
      </w:pPr>
    </w:p>
    <w:p w14:paraId="0460FC1D" w14:textId="098DA0AE" w:rsidR="000431BD" w:rsidRPr="00FD4A86" w:rsidRDefault="00387AF8" w:rsidP="00E904FA">
      <w:pPr>
        <w:spacing w:after="0" w:line="240" w:lineRule="auto"/>
        <w:jc w:val="both"/>
        <w:rPr>
          <w:rFonts w:ascii="Open Sans" w:hAnsi="Open Sans" w:cs="Open Sans"/>
          <w:lang w:val="en-US"/>
        </w:rPr>
      </w:pPr>
      <w:r>
        <w:rPr>
          <w:rFonts w:ascii="Open Sans" w:hAnsi="Open Sans" w:cs="Open Sans"/>
          <w:lang w:val="en-US"/>
        </w:rPr>
        <w:t>Il</w:t>
      </w:r>
      <w:r w:rsidRPr="00FD4A86">
        <w:rPr>
          <w:rFonts w:ascii="Open Sans" w:hAnsi="Open Sans" w:cs="Open Sans"/>
          <w:lang w:val="en-US"/>
        </w:rPr>
        <w:t xml:space="preserve"> </w:t>
      </w:r>
      <w:r w:rsidR="00916B24" w:rsidRPr="00FD4A86">
        <w:rPr>
          <w:rFonts w:ascii="Open Sans" w:hAnsi="Open Sans" w:cs="Open Sans"/>
          <w:lang w:val="en-US"/>
        </w:rPr>
        <w:t>s’engage</w:t>
      </w:r>
      <w:r w:rsidR="000431BD" w:rsidRPr="00FD4A86">
        <w:rPr>
          <w:rFonts w:ascii="Open Sans" w:hAnsi="Open Sans" w:cs="Open Sans"/>
          <w:lang w:val="en-US"/>
        </w:rPr>
        <w:t xml:space="preserve"> </w:t>
      </w:r>
      <w:proofErr w:type="gramStart"/>
      <w:r w:rsidR="00916B24" w:rsidRPr="00FD4A86">
        <w:rPr>
          <w:rFonts w:ascii="Open Sans" w:hAnsi="Open Sans" w:cs="Open Sans"/>
          <w:lang w:val="en-US"/>
        </w:rPr>
        <w:t>à</w:t>
      </w:r>
      <w:r w:rsidR="00570339">
        <w:rPr>
          <w:rFonts w:ascii="Open Sans" w:hAnsi="Open Sans" w:cs="Open Sans"/>
          <w:lang w:val="en-US"/>
        </w:rPr>
        <w:t xml:space="preserve"> </w:t>
      </w:r>
      <w:r w:rsidR="00916B24" w:rsidRPr="00FD4A86">
        <w:rPr>
          <w:rFonts w:ascii="Open Sans" w:hAnsi="Open Sans" w:cs="Open Sans"/>
          <w:lang w:val="en-US"/>
        </w:rPr>
        <w:t>:</w:t>
      </w:r>
      <w:proofErr w:type="gramEnd"/>
    </w:p>
    <w:p w14:paraId="17B4A068" w14:textId="77777777" w:rsidR="000431BD" w:rsidRPr="00FD4A86" w:rsidRDefault="000431BD" w:rsidP="00E904FA">
      <w:pPr>
        <w:numPr>
          <w:ilvl w:val="0"/>
          <w:numId w:val="12"/>
        </w:numPr>
        <w:spacing w:after="0" w:line="240" w:lineRule="auto"/>
        <w:jc w:val="both"/>
        <w:rPr>
          <w:rFonts w:ascii="Open Sans" w:hAnsi="Open Sans" w:cs="Open Sans"/>
        </w:rPr>
      </w:pPr>
      <w:r w:rsidRPr="00FD4A86">
        <w:rPr>
          <w:rFonts w:ascii="Open Sans" w:hAnsi="Open Sans" w:cs="Open Sans"/>
        </w:rPr>
        <w:t>Ne pas utiliser ces informations à d’autres fins sans autorisation écrite ;</w:t>
      </w:r>
    </w:p>
    <w:p w14:paraId="077A6E48" w14:textId="77777777" w:rsidR="000431BD" w:rsidRPr="00FD4A86" w:rsidRDefault="000431BD" w:rsidP="00E904FA">
      <w:pPr>
        <w:numPr>
          <w:ilvl w:val="0"/>
          <w:numId w:val="12"/>
        </w:numPr>
        <w:spacing w:after="0" w:line="240" w:lineRule="auto"/>
        <w:jc w:val="both"/>
        <w:rPr>
          <w:rFonts w:ascii="Open Sans" w:hAnsi="Open Sans" w:cs="Open Sans"/>
        </w:rPr>
      </w:pPr>
      <w:r w:rsidRPr="00FD4A86">
        <w:rPr>
          <w:rFonts w:ascii="Open Sans" w:hAnsi="Open Sans" w:cs="Open Sans"/>
        </w:rPr>
        <w:t>Garantir un niveau de protection équivalent à celui de ses propres données confidentielles ;</w:t>
      </w:r>
    </w:p>
    <w:p w14:paraId="7EE571FB" w14:textId="1959D6E1" w:rsidR="000431BD" w:rsidRPr="00FD4A86" w:rsidRDefault="000431BD" w:rsidP="00E904FA">
      <w:pPr>
        <w:numPr>
          <w:ilvl w:val="0"/>
          <w:numId w:val="12"/>
        </w:numPr>
        <w:spacing w:after="0" w:line="240" w:lineRule="auto"/>
        <w:jc w:val="both"/>
        <w:rPr>
          <w:rFonts w:ascii="Open Sans" w:hAnsi="Open Sans" w:cs="Open Sans"/>
        </w:rPr>
      </w:pPr>
      <w:r w:rsidRPr="00FD4A86">
        <w:rPr>
          <w:rFonts w:ascii="Open Sans" w:hAnsi="Open Sans" w:cs="Open Sans"/>
        </w:rPr>
        <w:t>Ne pas les divulguer à des tiers sans l’accord préalable de l’AUF</w:t>
      </w:r>
      <w:r w:rsidR="00570339">
        <w:rPr>
          <w:rFonts w:ascii="Open Sans" w:hAnsi="Open Sans" w:cs="Open Sans"/>
        </w:rPr>
        <w:t xml:space="preserve"> et de Forward Digital </w:t>
      </w:r>
      <w:r w:rsidR="00387AF8">
        <w:rPr>
          <w:rFonts w:ascii="Open Sans" w:hAnsi="Open Sans" w:cs="Open Sans"/>
        </w:rPr>
        <w:t>Mena</w:t>
      </w:r>
      <w:r w:rsidRPr="00FD4A86">
        <w:rPr>
          <w:rFonts w:ascii="Open Sans" w:hAnsi="Open Sans" w:cs="Open Sans"/>
        </w:rPr>
        <w:t>.</w:t>
      </w:r>
    </w:p>
    <w:p w14:paraId="519F3393" w14:textId="77777777" w:rsidR="00E904FA" w:rsidRDefault="00E904FA" w:rsidP="00E904FA">
      <w:pPr>
        <w:spacing w:after="0" w:line="240" w:lineRule="auto"/>
        <w:jc w:val="both"/>
        <w:rPr>
          <w:rFonts w:ascii="Open Sans" w:hAnsi="Open Sans" w:cs="Open Sans"/>
        </w:rPr>
      </w:pPr>
    </w:p>
    <w:p w14:paraId="79B69DA4" w14:textId="638A6132" w:rsidR="004D6D44" w:rsidRDefault="000431BD" w:rsidP="00E904FA">
      <w:pPr>
        <w:spacing w:after="0" w:line="240" w:lineRule="auto"/>
        <w:jc w:val="both"/>
        <w:rPr>
          <w:rFonts w:ascii="Open Sans" w:hAnsi="Open Sans" w:cs="Open Sans"/>
        </w:rPr>
      </w:pPr>
      <w:r w:rsidRPr="00FD4A86">
        <w:rPr>
          <w:rFonts w:ascii="Open Sans" w:hAnsi="Open Sans" w:cs="Open Sans"/>
        </w:rPr>
        <w:lastRenderedPageBreak/>
        <w:t>Les données personnelles seront traitées dans le respect de la législation libanaise en vigueur (Loi n° 81/2017).</w:t>
      </w:r>
    </w:p>
    <w:p w14:paraId="2ADD49D5" w14:textId="77777777" w:rsidR="00E904FA" w:rsidRPr="00FD4A86" w:rsidRDefault="00E904FA" w:rsidP="00E904FA">
      <w:pPr>
        <w:spacing w:after="0" w:line="240" w:lineRule="auto"/>
        <w:jc w:val="both"/>
        <w:rPr>
          <w:rFonts w:ascii="Open Sans" w:hAnsi="Open Sans" w:cs="Open Sans"/>
        </w:rPr>
      </w:pPr>
    </w:p>
    <w:p w14:paraId="500CAB2B" w14:textId="26045276" w:rsidR="004D6D44" w:rsidRPr="001B46D6" w:rsidRDefault="000D4A41" w:rsidP="001B46D6">
      <w:pPr>
        <w:pStyle w:val="Paragraphedeliste"/>
        <w:numPr>
          <w:ilvl w:val="0"/>
          <w:numId w:val="5"/>
        </w:numPr>
        <w:jc w:val="both"/>
        <w:rPr>
          <w:rFonts w:ascii="Open Sans" w:hAnsi="Open Sans" w:cs="Open Sans"/>
          <w:b/>
          <w:bCs/>
        </w:rPr>
      </w:pPr>
      <w:r w:rsidRPr="00FD4A86">
        <w:rPr>
          <w:rFonts w:ascii="Open Sans" w:hAnsi="Open Sans" w:cs="Open Sans"/>
          <w:b/>
          <w:bCs/>
        </w:rPr>
        <w:t>Mention supplémentaire</w:t>
      </w:r>
    </w:p>
    <w:p w14:paraId="110F6F55" w14:textId="145C7FCE" w:rsidR="004D6D44" w:rsidRPr="00FD4A86" w:rsidRDefault="00FA0B38" w:rsidP="00570339">
      <w:pPr>
        <w:pStyle w:val="Corpsdetexte"/>
        <w:ind w:right="141"/>
        <w:jc w:val="both"/>
        <w:rPr>
          <w:rFonts w:ascii="Open Sans" w:eastAsiaTheme="minorHAnsi" w:hAnsi="Open Sans" w:cs="Open Sans"/>
          <w:kern w:val="2"/>
          <w:sz w:val="22"/>
          <w:szCs w:val="22"/>
          <w14:ligatures w14:val="standardContextual"/>
        </w:rPr>
      </w:pPr>
      <w:r w:rsidRPr="00FA0B38">
        <w:rPr>
          <w:rFonts w:ascii="Open Sans" w:eastAsiaTheme="minorHAnsi" w:hAnsi="Open Sans" w:cs="Open Sans"/>
          <w:kern w:val="2"/>
          <w:sz w:val="22"/>
          <w:szCs w:val="22"/>
          <w14:ligatures w14:val="standardContextual"/>
        </w:rPr>
        <w:t>L</w:t>
      </w:r>
      <w:r>
        <w:rPr>
          <w:rFonts w:ascii="Open Sans" w:eastAsiaTheme="minorHAnsi" w:hAnsi="Open Sans" w:cs="Open Sans"/>
          <w:kern w:val="2"/>
          <w:sz w:val="22"/>
          <w:szCs w:val="22"/>
          <w14:ligatures w14:val="standardContextual"/>
        </w:rPr>
        <w:t>e choix de l’auditeur</w:t>
      </w:r>
      <w:r w:rsidRPr="00FA0B38">
        <w:rPr>
          <w:rFonts w:ascii="Open Sans" w:eastAsiaTheme="minorHAnsi" w:hAnsi="Open Sans" w:cs="Open Sans"/>
          <w:kern w:val="2"/>
          <w:sz w:val="22"/>
          <w:szCs w:val="22"/>
          <w14:ligatures w14:val="standardContextual"/>
        </w:rPr>
        <w:t xml:space="preserve"> </w:t>
      </w:r>
      <w:r w:rsidR="002B210A">
        <w:rPr>
          <w:rFonts w:ascii="Open Sans" w:eastAsiaTheme="minorHAnsi" w:hAnsi="Open Sans" w:cs="Open Sans"/>
          <w:kern w:val="2"/>
          <w:sz w:val="22"/>
          <w:szCs w:val="22"/>
          <w14:ligatures w14:val="standardContextual"/>
        </w:rPr>
        <w:t xml:space="preserve">externe </w:t>
      </w:r>
      <w:r w:rsidRPr="00FA0B38">
        <w:rPr>
          <w:rFonts w:ascii="Open Sans" w:eastAsiaTheme="minorHAnsi" w:hAnsi="Open Sans" w:cs="Open Sans"/>
          <w:kern w:val="2"/>
          <w:sz w:val="22"/>
          <w:szCs w:val="22"/>
          <w14:ligatures w14:val="standardContextual"/>
        </w:rPr>
        <w:t xml:space="preserve">doit être validé par le Point de </w:t>
      </w:r>
      <w:r>
        <w:rPr>
          <w:rFonts w:ascii="Open Sans" w:eastAsiaTheme="minorHAnsi" w:hAnsi="Open Sans" w:cs="Open Sans"/>
          <w:kern w:val="2"/>
          <w:sz w:val="22"/>
          <w:szCs w:val="22"/>
          <w14:ligatures w14:val="standardContextual"/>
        </w:rPr>
        <w:t>C</w:t>
      </w:r>
      <w:r w:rsidRPr="00FA0B38">
        <w:rPr>
          <w:rFonts w:ascii="Open Sans" w:eastAsiaTheme="minorHAnsi" w:hAnsi="Open Sans" w:cs="Open Sans"/>
          <w:kern w:val="2"/>
          <w:sz w:val="22"/>
          <w:szCs w:val="22"/>
          <w14:ligatures w14:val="standardContextual"/>
        </w:rPr>
        <w:t>ontact d</w:t>
      </w:r>
      <w:r>
        <w:rPr>
          <w:rFonts w:ascii="Open Sans" w:eastAsiaTheme="minorHAnsi" w:hAnsi="Open Sans" w:cs="Open Sans"/>
          <w:kern w:val="2"/>
          <w:sz w:val="22"/>
          <w:szCs w:val="22"/>
          <w14:ligatures w14:val="standardContextual"/>
        </w:rPr>
        <w:t>e</w:t>
      </w:r>
      <w:r w:rsidRPr="00FA0B38">
        <w:rPr>
          <w:rFonts w:ascii="Open Sans" w:eastAsiaTheme="minorHAnsi" w:hAnsi="Open Sans" w:cs="Open Sans"/>
          <w:kern w:val="2"/>
          <w:sz w:val="22"/>
          <w:szCs w:val="22"/>
          <w14:ligatures w14:val="standardContextual"/>
        </w:rPr>
        <w:t xml:space="preserve"> </w:t>
      </w:r>
      <w:r>
        <w:rPr>
          <w:rFonts w:ascii="Open Sans" w:eastAsiaTheme="minorHAnsi" w:hAnsi="Open Sans" w:cs="Open Sans"/>
          <w:kern w:val="2"/>
          <w:sz w:val="22"/>
          <w:szCs w:val="22"/>
          <w14:ligatures w14:val="standardContextual"/>
        </w:rPr>
        <w:t>C</w:t>
      </w:r>
      <w:r w:rsidRPr="00FA0B38">
        <w:rPr>
          <w:rFonts w:ascii="Open Sans" w:eastAsiaTheme="minorHAnsi" w:hAnsi="Open Sans" w:cs="Open Sans"/>
          <w:kern w:val="2"/>
          <w:sz w:val="22"/>
          <w:szCs w:val="22"/>
          <w14:ligatures w14:val="standardContextual"/>
        </w:rPr>
        <w:t>ontrôle</w:t>
      </w:r>
      <w:r>
        <w:rPr>
          <w:rFonts w:ascii="Open Sans" w:eastAsiaTheme="minorHAnsi" w:hAnsi="Open Sans" w:cs="Open Sans"/>
          <w:kern w:val="2"/>
          <w:sz w:val="22"/>
          <w:szCs w:val="22"/>
          <w14:ligatures w14:val="standardContextual"/>
        </w:rPr>
        <w:t xml:space="preserve"> (PCC)</w:t>
      </w:r>
      <w:r w:rsidR="00570339">
        <w:rPr>
          <w:rFonts w:ascii="Open Sans" w:eastAsiaTheme="minorHAnsi" w:hAnsi="Open Sans" w:cs="Open Sans"/>
          <w:kern w:val="2"/>
          <w:sz w:val="22"/>
          <w:szCs w:val="22"/>
          <w14:ligatures w14:val="standardContextual"/>
        </w:rPr>
        <w:t xml:space="preserve"> </w:t>
      </w:r>
      <w:r>
        <w:rPr>
          <w:rFonts w:ascii="Open Sans" w:eastAsiaTheme="minorHAnsi" w:hAnsi="Open Sans" w:cs="Open Sans"/>
          <w:kern w:val="2"/>
          <w:sz w:val="22"/>
          <w:szCs w:val="22"/>
          <w14:ligatures w14:val="standardContextual"/>
        </w:rPr>
        <w:t>au Liban</w:t>
      </w:r>
      <w:r w:rsidR="004D6D44" w:rsidRPr="00FD4A86">
        <w:rPr>
          <w:rFonts w:ascii="Open Sans" w:eastAsiaTheme="minorHAnsi" w:hAnsi="Open Sans" w:cs="Open Sans"/>
          <w:kern w:val="2"/>
          <w:sz w:val="22"/>
          <w:szCs w:val="22"/>
          <w14:ligatures w14:val="standardContextual"/>
        </w:rPr>
        <w:t>.</w:t>
      </w:r>
    </w:p>
    <w:p w14:paraId="63DBC0AA" w14:textId="77777777" w:rsidR="004D6D44" w:rsidRDefault="004D6D44" w:rsidP="0035557B">
      <w:pPr>
        <w:spacing w:after="0" w:line="240" w:lineRule="auto"/>
        <w:jc w:val="both"/>
        <w:rPr>
          <w:rFonts w:ascii="Open Sans" w:hAnsi="Open Sans" w:cs="Open Sans"/>
          <w:color w:val="1C1C1C"/>
          <w:shd w:val="clear" w:color="auto" w:fill="FFFFFF"/>
        </w:rPr>
      </w:pPr>
    </w:p>
    <w:p w14:paraId="0EC24E34" w14:textId="77777777" w:rsidR="004D6D44" w:rsidRPr="00FD4A86" w:rsidRDefault="004D6D44" w:rsidP="0035557B">
      <w:pPr>
        <w:spacing w:after="0" w:line="240" w:lineRule="auto"/>
        <w:jc w:val="both"/>
        <w:rPr>
          <w:rFonts w:ascii="Open Sans" w:hAnsi="Open Sans" w:cs="Open Sans"/>
          <w:color w:val="1C1C1C"/>
          <w:shd w:val="clear" w:color="auto" w:fill="FFFFFF"/>
        </w:rPr>
      </w:pPr>
    </w:p>
    <w:p w14:paraId="1AB78042" w14:textId="404CC966" w:rsidR="004D6D44" w:rsidRPr="00570339" w:rsidRDefault="005C7677" w:rsidP="004D6D44">
      <w:pPr>
        <w:spacing w:after="0" w:line="240" w:lineRule="auto"/>
        <w:jc w:val="both"/>
        <w:rPr>
          <w:rFonts w:ascii="Open Sans" w:hAnsi="Open Sans" w:cs="Open Sans"/>
          <w:b/>
          <w:bCs/>
          <w:color w:val="1C1C1C"/>
          <w:shd w:val="clear" w:color="auto" w:fill="FFFFFF"/>
        </w:rPr>
      </w:pPr>
      <w:r>
        <w:rPr>
          <w:rFonts w:ascii="Open Sans" w:hAnsi="Open Sans" w:cs="Open Sans"/>
          <w:b/>
          <w:bCs/>
          <w:color w:val="1C1C1C"/>
          <w:shd w:val="clear" w:color="auto" w:fill="FFFFFF"/>
        </w:rPr>
        <w:t>À</w:t>
      </w:r>
      <w:r w:rsidR="004D6D44" w:rsidRPr="00570339">
        <w:rPr>
          <w:rFonts w:ascii="Open Sans" w:hAnsi="Open Sans" w:cs="Open Sans"/>
          <w:b/>
          <w:bCs/>
          <w:color w:val="1C1C1C"/>
          <w:shd w:val="clear" w:color="auto" w:fill="FFFFFF"/>
        </w:rPr>
        <w:t xml:space="preserve"> propos</w:t>
      </w:r>
    </w:p>
    <w:p w14:paraId="1FA628FF" w14:textId="79211257"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L’Agence Universitaire de la Francophonie regroupe </w:t>
      </w:r>
      <w:hyperlink r:id="rId13" w:history="1">
        <w:r w:rsidRPr="00FD4A86">
          <w:rPr>
            <w:rFonts w:ascii="Open Sans" w:hAnsi="Open Sans" w:cs="Open Sans"/>
            <w:color w:val="000000" w:themeColor="text1"/>
            <w:shd w:val="clear" w:color="auto" w:fill="FFFFFF"/>
          </w:rPr>
          <w:t>plus de 1</w:t>
        </w:r>
        <w:r w:rsidR="002B210A">
          <w:rPr>
            <w:rFonts w:ascii="Open Sans" w:hAnsi="Open Sans" w:cs="Open Sans"/>
            <w:color w:val="000000" w:themeColor="text1"/>
            <w:shd w:val="clear" w:color="auto" w:fill="FFFFFF"/>
          </w:rPr>
          <w:t xml:space="preserve"> </w:t>
        </w:r>
        <w:r w:rsidRPr="00FD4A86">
          <w:rPr>
            <w:rFonts w:ascii="Open Sans" w:hAnsi="Open Sans" w:cs="Open Sans"/>
            <w:color w:val="000000" w:themeColor="text1"/>
            <w:shd w:val="clear" w:color="auto" w:fill="FFFFFF"/>
          </w:rPr>
          <w:t xml:space="preserve">000 universités, grandes écoles, réseaux universitaires et centres de recherche scientifique utilisant la langue française dans 120 </w:t>
        </w:r>
        <w:r w:rsidRPr="00FD4A86">
          <w:rPr>
            <w:rFonts w:ascii="Open Sans" w:hAnsi="Open Sans" w:cs="Open Sans"/>
            <w:color w:val="1C1C1C"/>
            <w:shd w:val="clear" w:color="auto" w:fill="FFFFFF"/>
          </w:rPr>
          <w:t>pays. </w:t>
        </w:r>
      </w:hyperlink>
      <w:r w:rsidRPr="00FD4A86">
        <w:rPr>
          <w:rFonts w:ascii="Open Sans" w:hAnsi="Open Sans" w:cs="Open Sans"/>
          <w:color w:val="1C1C1C"/>
          <w:shd w:val="clear" w:color="auto" w:fill="FFFFFF"/>
        </w:rPr>
        <w:t xml:space="preserve">Créée il y a plus de 60 ans, elle est l’une des plus importantes associations d’établissements d’enseignement supérieur et de recherche au monde. Elle est également l’opérateur pour l’enseignement supérieur et la recherche du Sommet de la Francophonie. </w:t>
      </w:r>
    </w:p>
    <w:p w14:paraId="447F8D50" w14:textId="7F62F04C"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color w:val="1C1C1C"/>
          <w:shd w:val="clear" w:color="auto" w:fill="FFFFFF"/>
        </w:rPr>
        <w:t xml:space="preserve">Installée à Beyrouth (Liban), depuis 1993, la Direction régionale Moyen-Orient anime un réseau de </w:t>
      </w:r>
      <w:r w:rsidR="00B3728F" w:rsidRPr="00FD4A86">
        <w:rPr>
          <w:rFonts w:ascii="Open Sans" w:hAnsi="Open Sans" w:cs="Open Sans"/>
          <w:b/>
          <w:bCs/>
          <w:color w:val="1C1C1C"/>
          <w:shd w:val="clear" w:color="auto" w:fill="FFFFFF"/>
        </w:rPr>
        <w:t>10</w:t>
      </w:r>
      <w:r w:rsidR="00B3728F">
        <w:rPr>
          <w:rFonts w:ascii="Open Sans" w:hAnsi="Open Sans" w:cs="Open Sans"/>
          <w:b/>
          <w:bCs/>
          <w:color w:val="1C1C1C"/>
          <w:shd w:val="clear" w:color="auto" w:fill="FFFFFF"/>
        </w:rPr>
        <w:t>3</w:t>
      </w:r>
      <w:r w:rsidR="00B3728F" w:rsidRPr="00FD4A86">
        <w:rPr>
          <w:rFonts w:ascii="Open Sans" w:hAnsi="Open Sans" w:cs="Open Sans"/>
          <w:b/>
          <w:bCs/>
          <w:color w:val="1C1C1C"/>
          <w:shd w:val="clear" w:color="auto" w:fill="FFFFFF"/>
        </w:rPr>
        <w:t xml:space="preserve"> </w:t>
      </w:r>
      <w:r w:rsidRPr="00FD4A86">
        <w:rPr>
          <w:rFonts w:ascii="Open Sans" w:hAnsi="Open Sans" w:cs="Open Sans"/>
          <w:b/>
          <w:bCs/>
          <w:color w:val="1C1C1C"/>
          <w:shd w:val="clear" w:color="auto" w:fill="FFFFFF"/>
        </w:rPr>
        <w:t>membres</w:t>
      </w:r>
      <w:r w:rsidRPr="00FD4A86">
        <w:rPr>
          <w:rFonts w:ascii="Open Sans" w:hAnsi="Open Sans" w:cs="Open Sans"/>
          <w:color w:val="1C1C1C"/>
          <w:shd w:val="clear" w:color="auto" w:fill="FFFFFF"/>
        </w:rPr>
        <w:t xml:space="preserve"> dans </w:t>
      </w:r>
      <w:r w:rsidRPr="00FD4A86">
        <w:rPr>
          <w:rFonts w:ascii="Open Sans" w:hAnsi="Open Sans" w:cs="Open Sans"/>
          <w:b/>
          <w:bCs/>
          <w:color w:val="1C1C1C"/>
          <w:shd w:val="clear" w:color="auto" w:fill="FFFFFF"/>
        </w:rPr>
        <w:t>18 pays</w:t>
      </w:r>
      <w:r w:rsidRPr="00FD4A86">
        <w:rPr>
          <w:rFonts w:ascii="Open Sans" w:hAnsi="Open Sans" w:cs="Open Sans"/>
          <w:color w:val="1C1C1C"/>
          <w:shd w:val="clear" w:color="auto" w:fill="FFFFFF"/>
        </w:rPr>
        <w:t xml:space="preserve"> : Afghanistan, Arabie Saoudite, Chypre, Djibouti, Égypte, Émirats arabes unis, Éthiopie, Irak, Iran, Jordanie, Liban, Palestine, Pakistan, Qatar, Somalie, Soudan, Syrie et Yémen.</w:t>
      </w:r>
    </w:p>
    <w:p w14:paraId="6C5D0542" w14:textId="77777777" w:rsidR="0035557B" w:rsidRPr="00FD4A86" w:rsidRDefault="0035557B" w:rsidP="0035557B">
      <w:pPr>
        <w:spacing w:after="0" w:line="240" w:lineRule="auto"/>
        <w:jc w:val="both"/>
        <w:rPr>
          <w:rFonts w:ascii="Open Sans" w:hAnsi="Open Sans" w:cs="Open Sans"/>
          <w:color w:val="1C1C1C"/>
          <w:shd w:val="clear" w:color="auto" w:fill="FFFFFF"/>
        </w:rPr>
      </w:pPr>
    </w:p>
    <w:p w14:paraId="479FB4F4" w14:textId="11A99CBB" w:rsidR="0035557B" w:rsidRPr="00FD4A86" w:rsidRDefault="0035557B" w:rsidP="0035557B">
      <w:pPr>
        <w:spacing w:after="0" w:line="240" w:lineRule="auto"/>
        <w:jc w:val="both"/>
        <w:rPr>
          <w:rFonts w:ascii="Open Sans" w:hAnsi="Open Sans" w:cs="Open Sans"/>
          <w:color w:val="1C1C1C"/>
          <w:shd w:val="clear" w:color="auto" w:fill="FFFFFF"/>
        </w:rPr>
      </w:pPr>
      <w:r w:rsidRPr="00FD4A86">
        <w:rPr>
          <w:rFonts w:ascii="Open Sans" w:hAnsi="Open Sans" w:cs="Open Sans"/>
        </w:rPr>
        <w:t xml:space="preserve">Forward </w:t>
      </w:r>
      <w:r w:rsidR="00E4094E">
        <w:rPr>
          <w:rFonts w:ascii="Open Sans" w:hAnsi="Open Sans" w:cs="Open Sans"/>
        </w:rPr>
        <w:t xml:space="preserve">Digital </w:t>
      </w:r>
      <w:r w:rsidR="00E4094E" w:rsidRPr="00FD4A86">
        <w:rPr>
          <w:rFonts w:ascii="Open Sans" w:hAnsi="Open Sans" w:cs="Open Sans"/>
        </w:rPr>
        <w:t>M</w:t>
      </w:r>
      <w:r w:rsidR="00E4094E">
        <w:rPr>
          <w:rFonts w:ascii="Open Sans" w:hAnsi="Open Sans" w:cs="Open Sans"/>
        </w:rPr>
        <w:t>ena</w:t>
      </w:r>
      <w:r w:rsidR="00E4094E" w:rsidRPr="00FD4A86">
        <w:rPr>
          <w:rFonts w:ascii="Open Sans" w:hAnsi="Open Sans" w:cs="Open Sans"/>
        </w:rPr>
        <w:t xml:space="preserve"> </w:t>
      </w:r>
      <w:r w:rsidRPr="00FD4A86">
        <w:rPr>
          <w:rFonts w:ascii="Open Sans" w:hAnsi="Open Sans" w:cs="Open Sans"/>
        </w:rPr>
        <w:t>est une organisation à but non lucratif visant à développer les compétences numériques des personnes de tous horizons afin de les préparer aux emplois d’aujourd’hui et de demain. Elle constitue un incubateur de programmes éducatifs situés à l’intersection du design, de la technologie et du leadership, destinés aux enfants, aux étudiants universitaires et aux apprenants tout au long de la vie.</w:t>
      </w:r>
    </w:p>
    <w:p w14:paraId="54EDD7C5" w14:textId="77777777" w:rsidR="0035557B" w:rsidRPr="00FD4A86" w:rsidRDefault="0035557B" w:rsidP="0035557B">
      <w:pPr>
        <w:jc w:val="both"/>
        <w:rPr>
          <w:rFonts w:ascii="Open Sans" w:hAnsi="Open Sans" w:cs="Open Sans"/>
        </w:rPr>
      </w:pPr>
    </w:p>
    <w:p w14:paraId="4BA8A3F1" w14:textId="77777777" w:rsidR="0035557B" w:rsidRPr="00FD4A86" w:rsidRDefault="0035557B" w:rsidP="000431BD">
      <w:pPr>
        <w:jc w:val="both"/>
        <w:rPr>
          <w:rFonts w:ascii="Open Sans" w:hAnsi="Open Sans" w:cs="Open Sans"/>
        </w:rPr>
      </w:pPr>
    </w:p>
    <w:sectPr w:rsidR="0035557B" w:rsidRPr="00FD4A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211C" w14:textId="77777777" w:rsidR="00A114CF" w:rsidRDefault="00A114CF" w:rsidP="008C32CA">
      <w:pPr>
        <w:spacing w:after="0" w:line="240" w:lineRule="auto"/>
      </w:pPr>
      <w:r>
        <w:separator/>
      </w:r>
    </w:p>
  </w:endnote>
  <w:endnote w:type="continuationSeparator" w:id="0">
    <w:p w14:paraId="482D6496" w14:textId="77777777" w:rsidR="00A114CF" w:rsidRDefault="00A114CF" w:rsidP="008C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F592" w14:textId="77777777" w:rsidR="00A114CF" w:rsidRDefault="00A114CF" w:rsidP="008C32CA">
      <w:pPr>
        <w:spacing w:after="0" w:line="240" w:lineRule="auto"/>
      </w:pPr>
      <w:r>
        <w:separator/>
      </w:r>
    </w:p>
  </w:footnote>
  <w:footnote w:type="continuationSeparator" w:id="0">
    <w:p w14:paraId="0BF2F604" w14:textId="77777777" w:rsidR="00A114CF" w:rsidRDefault="00A114CF" w:rsidP="008C32C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t0698z7VVpIjt" int2:id="0aQDlQhL">
      <int2:state int2:value="Rejected" int2:type="spell"/>
    </int2:textHash>
    <int2:bookmark int2:bookmarkName="_Int_sSGNUjXc" int2:invalidationBookmarkName="" int2:hashCode="X/4cprXz2tR86W" int2:id="0NFyeMD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EF9"/>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0DEF46EC"/>
    <w:multiLevelType w:val="hybridMultilevel"/>
    <w:tmpl w:val="B2F855EA"/>
    <w:lvl w:ilvl="0" w:tplc="8438D0AA">
      <w:start w:val="4"/>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7BED"/>
    <w:multiLevelType w:val="hybridMultilevel"/>
    <w:tmpl w:val="01428C10"/>
    <w:lvl w:ilvl="0" w:tplc="652011C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048AE"/>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15:restartNumberingAfterBreak="0">
    <w:nsid w:val="22D9104F"/>
    <w:multiLevelType w:val="multilevel"/>
    <w:tmpl w:val="A3E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94605"/>
    <w:multiLevelType w:val="hybridMultilevel"/>
    <w:tmpl w:val="86D0631A"/>
    <w:lvl w:ilvl="0" w:tplc="FFFFFFFF">
      <w:start w:val="5"/>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9AF60BA"/>
    <w:multiLevelType w:val="hybridMultilevel"/>
    <w:tmpl w:val="E24AB12A"/>
    <w:lvl w:ilvl="0" w:tplc="72F47D92">
      <w:start w:val="4"/>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7" w15:restartNumberingAfterBreak="0">
    <w:nsid w:val="3518251D"/>
    <w:multiLevelType w:val="hybridMultilevel"/>
    <w:tmpl w:val="E28E0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A15C2"/>
    <w:multiLevelType w:val="hybridMultilevel"/>
    <w:tmpl w:val="DC8C6CB0"/>
    <w:lvl w:ilvl="0" w:tplc="72F47D92">
      <w:start w:val="4"/>
      <w:numFmt w:val="bullet"/>
      <w:lvlText w:val="-"/>
      <w:lvlJc w:val="left"/>
      <w:pPr>
        <w:ind w:left="440" w:hanging="360"/>
      </w:pPr>
      <w:rPr>
        <w:rFonts w:ascii="Calibri" w:eastAsiaTheme="minorHAnsi" w:hAnsi="Calibri" w:cs="Calibri" w:hint="default"/>
      </w:rPr>
    </w:lvl>
    <w:lvl w:ilvl="1" w:tplc="040C0003">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9" w15:restartNumberingAfterBreak="0">
    <w:nsid w:val="39A47661"/>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15:restartNumberingAfterBreak="0">
    <w:nsid w:val="3D9968A6"/>
    <w:multiLevelType w:val="hybridMultilevel"/>
    <w:tmpl w:val="DDDE0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695508"/>
    <w:multiLevelType w:val="hybridMultilevel"/>
    <w:tmpl w:val="AB4AE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65091"/>
    <w:multiLevelType w:val="hybridMultilevel"/>
    <w:tmpl w:val="419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65001"/>
    <w:multiLevelType w:val="hybridMultilevel"/>
    <w:tmpl w:val="F4587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6F7AD3"/>
    <w:multiLevelType w:val="hybridMultilevel"/>
    <w:tmpl w:val="63C88066"/>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EA65A4"/>
    <w:multiLevelType w:val="hybridMultilevel"/>
    <w:tmpl w:val="479EE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CC7294"/>
    <w:multiLevelType w:val="hybridMultilevel"/>
    <w:tmpl w:val="2F149A32"/>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E71DD"/>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8" w15:restartNumberingAfterBreak="0">
    <w:nsid w:val="6B4C233E"/>
    <w:multiLevelType w:val="hybridMultilevel"/>
    <w:tmpl w:val="86D0631A"/>
    <w:lvl w:ilvl="0" w:tplc="CB263040">
      <w:start w:val="5"/>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72951F7A"/>
    <w:multiLevelType w:val="hybridMultilevel"/>
    <w:tmpl w:val="86D0631A"/>
    <w:lvl w:ilvl="0" w:tplc="FFFFFFFF">
      <w:start w:val="5"/>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7C5B011A"/>
    <w:multiLevelType w:val="multilevel"/>
    <w:tmpl w:val="3CE47BFC"/>
    <w:lvl w:ilvl="0">
      <w:start w:val="1"/>
      <w:numFmt w:val="decimal"/>
      <w:lvlText w:val="%1."/>
      <w:lvlJc w:val="left"/>
      <w:pPr>
        <w:ind w:left="36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16cid:durableId="1109356633">
    <w:abstractNumId w:val="14"/>
  </w:num>
  <w:num w:numId="2" w16cid:durableId="1217400312">
    <w:abstractNumId w:val="9"/>
  </w:num>
  <w:num w:numId="3" w16cid:durableId="1248995888">
    <w:abstractNumId w:val="2"/>
  </w:num>
  <w:num w:numId="4" w16cid:durableId="199557698">
    <w:abstractNumId w:val="3"/>
  </w:num>
  <w:num w:numId="5" w16cid:durableId="278222727">
    <w:abstractNumId w:val="20"/>
  </w:num>
  <w:num w:numId="6" w16cid:durableId="332412410">
    <w:abstractNumId w:val="18"/>
  </w:num>
  <w:num w:numId="7" w16cid:durableId="526721856">
    <w:abstractNumId w:val="0"/>
  </w:num>
  <w:num w:numId="8" w16cid:durableId="630865915">
    <w:abstractNumId w:val="16"/>
  </w:num>
  <w:num w:numId="9" w16cid:durableId="854419481">
    <w:abstractNumId w:val="1"/>
  </w:num>
  <w:num w:numId="10" w16cid:durableId="905148221">
    <w:abstractNumId w:val="19"/>
  </w:num>
  <w:num w:numId="11" w16cid:durableId="469635208">
    <w:abstractNumId w:val="12"/>
  </w:num>
  <w:num w:numId="12" w16cid:durableId="1197547936">
    <w:abstractNumId w:val="4"/>
  </w:num>
  <w:num w:numId="13" w16cid:durableId="120879798">
    <w:abstractNumId w:val="15"/>
  </w:num>
  <w:num w:numId="14" w16cid:durableId="175310706">
    <w:abstractNumId w:val="13"/>
  </w:num>
  <w:num w:numId="15" w16cid:durableId="1415781061">
    <w:abstractNumId w:val="10"/>
  </w:num>
  <w:num w:numId="16" w16cid:durableId="1914199638">
    <w:abstractNumId w:val="17"/>
  </w:num>
  <w:num w:numId="17" w16cid:durableId="1131167882">
    <w:abstractNumId w:val="6"/>
  </w:num>
  <w:num w:numId="18" w16cid:durableId="564295926">
    <w:abstractNumId w:val="8"/>
  </w:num>
  <w:num w:numId="19" w16cid:durableId="1753160515">
    <w:abstractNumId w:val="5"/>
  </w:num>
  <w:num w:numId="20" w16cid:durableId="1185705679">
    <w:abstractNumId w:val="11"/>
  </w:num>
  <w:num w:numId="21" w16cid:durableId="865673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7B"/>
    <w:rsid w:val="00003F9B"/>
    <w:rsid w:val="00006846"/>
    <w:rsid w:val="000077F8"/>
    <w:rsid w:val="00010177"/>
    <w:rsid w:val="00013B24"/>
    <w:rsid w:val="00017E88"/>
    <w:rsid w:val="00023AEE"/>
    <w:rsid w:val="00024625"/>
    <w:rsid w:val="00030DFA"/>
    <w:rsid w:val="0003440C"/>
    <w:rsid w:val="00040604"/>
    <w:rsid w:val="000431BD"/>
    <w:rsid w:val="00046558"/>
    <w:rsid w:val="0005237B"/>
    <w:rsid w:val="00052DD9"/>
    <w:rsid w:val="000550A1"/>
    <w:rsid w:val="00060526"/>
    <w:rsid w:val="00065A05"/>
    <w:rsid w:val="000771CE"/>
    <w:rsid w:val="00077613"/>
    <w:rsid w:val="00081A14"/>
    <w:rsid w:val="000842C7"/>
    <w:rsid w:val="00084573"/>
    <w:rsid w:val="000864F7"/>
    <w:rsid w:val="0009657F"/>
    <w:rsid w:val="000B4250"/>
    <w:rsid w:val="000B4F9B"/>
    <w:rsid w:val="000B54CC"/>
    <w:rsid w:val="000C7469"/>
    <w:rsid w:val="000C7A49"/>
    <w:rsid w:val="000C7C04"/>
    <w:rsid w:val="000D4A41"/>
    <w:rsid w:val="000D4B95"/>
    <w:rsid w:val="000D7D4A"/>
    <w:rsid w:val="000E07E6"/>
    <w:rsid w:val="000E207E"/>
    <w:rsid w:val="000E2AE6"/>
    <w:rsid w:val="000E6CEA"/>
    <w:rsid w:val="000F16FC"/>
    <w:rsid w:val="000F18DF"/>
    <w:rsid w:val="000F32FD"/>
    <w:rsid w:val="000F5E4F"/>
    <w:rsid w:val="00100AE2"/>
    <w:rsid w:val="00102593"/>
    <w:rsid w:val="00104F8A"/>
    <w:rsid w:val="00112ED0"/>
    <w:rsid w:val="00115089"/>
    <w:rsid w:val="00117C48"/>
    <w:rsid w:val="00121192"/>
    <w:rsid w:val="00135B1F"/>
    <w:rsid w:val="00135C8F"/>
    <w:rsid w:val="00136056"/>
    <w:rsid w:val="00140B08"/>
    <w:rsid w:val="0014698B"/>
    <w:rsid w:val="00150755"/>
    <w:rsid w:val="00150D20"/>
    <w:rsid w:val="00151129"/>
    <w:rsid w:val="00154999"/>
    <w:rsid w:val="0016298B"/>
    <w:rsid w:val="00163A7C"/>
    <w:rsid w:val="00165AD1"/>
    <w:rsid w:val="00171756"/>
    <w:rsid w:val="00176954"/>
    <w:rsid w:val="00176F6B"/>
    <w:rsid w:val="00181232"/>
    <w:rsid w:val="001875BE"/>
    <w:rsid w:val="00195B37"/>
    <w:rsid w:val="001A4922"/>
    <w:rsid w:val="001B2E78"/>
    <w:rsid w:val="001B46D6"/>
    <w:rsid w:val="001B631E"/>
    <w:rsid w:val="001B7A58"/>
    <w:rsid w:val="001C27ED"/>
    <w:rsid w:val="001C575F"/>
    <w:rsid w:val="001C626C"/>
    <w:rsid w:val="001D64F2"/>
    <w:rsid w:val="001E377A"/>
    <w:rsid w:val="001E5DCC"/>
    <w:rsid w:val="001F1B9A"/>
    <w:rsid w:val="001F475A"/>
    <w:rsid w:val="001F53C2"/>
    <w:rsid w:val="002006A6"/>
    <w:rsid w:val="00202CB1"/>
    <w:rsid w:val="002063E6"/>
    <w:rsid w:val="0021114C"/>
    <w:rsid w:val="002119D7"/>
    <w:rsid w:val="00211CD7"/>
    <w:rsid w:val="00212577"/>
    <w:rsid w:val="0021286C"/>
    <w:rsid w:val="002172EB"/>
    <w:rsid w:val="00222DFD"/>
    <w:rsid w:val="00236BFE"/>
    <w:rsid w:val="00236C2E"/>
    <w:rsid w:val="00236ECC"/>
    <w:rsid w:val="00240CB9"/>
    <w:rsid w:val="00246B3D"/>
    <w:rsid w:val="00252C69"/>
    <w:rsid w:val="002564CC"/>
    <w:rsid w:val="00257AFF"/>
    <w:rsid w:val="002601DE"/>
    <w:rsid w:val="00260B3D"/>
    <w:rsid w:val="00263E58"/>
    <w:rsid w:val="002656D5"/>
    <w:rsid w:val="0027556A"/>
    <w:rsid w:val="00276DAE"/>
    <w:rsid w:val="00277199"/>
    <w:rsid w:val="002806EB"/>
    <w:rsid w:val="00283205"/>
    <w:rsid w:val="002A173D"/>
    <w:rsid w:val="002B07AC"/>
    <w:rsid w:val="002B1F5D"/>
    <w:rsid w:val="002B210A"/>
    <w:rsid w:val="002B54B3"/>
    <w:rsid w:val="002C4C6C"/>
    <w:rsid w:val="002C6BCA"/>
    <w:rsid w:val="002C7026"/>
    <w:rsid w:val="002E2B29"/>
    <w:rsid w:val="002F0359"/>
    <w:rsid w:val="002F06CD"/>
    <w:rsid w:val="002F51FE"/>
    <w:rsid w:val="002F7E03"/>
    <w:rsid w:val="00307237"/>
    <w:rsid w:val="00317CA8"/>
    <w:rsid w:val="00325EDE"/>
    <w:rsid w:val="00327203"/>
    <w:rsid w:val="00327D65"/>
    <w:rsid w:val="0034300C"/>
    <w:rsid w:val="0034385E"/>
    <w:rsid w:val="0035557B"/>
    <w:rsid w:val="00356A82"/>
    <w:rsid w:val="00363EC7"/>
    <w:rsid w:val="00373497"/>
    <w:rsid w:val="003747D1"/>
    <w:rsid w:val="0037511D"/>
    <w:rsid w:val="00375BEE"/>
    <w:rsid w:val="0037605A"/>
    <w:rsid w:val="00381F9D"/>
    <w:rsid w:val="0038420E"/>
    <w:rsid w:val="003845CA"/>
    <w:rsid w:val="00387AF8"/>
    <w:rsid w:val="0039516E"/>
    <w:rsid w:val="00395712"/>
    <w:rsid w:val="00396300"/>
    <w:rsid w:val="003A07E9"/>
    <w:rsid w:val="003A0DE8"/>
    <w:rsid w:val="003A696F"/>
    <w:rsid w:val="003B0EE6"/>
    <w:rsid w:val="003B79D8"/>
    <w:rsid w:val="003C0D80"/>
    <w:rsid w:val="003C3D7B"/>
    <w:rsid w:val="003C6EEE"/>
    <w:rsid w:val="003C75CB"/>
    <w:rsid w:val="003D085A"/>
    <w:rsid w:val="003D0C99"/>
    <w:rsid w:val="003D2F40"/>
    <w:rsid w:val="003D3E7D"/>
    <w:rsid w:val="003E2983"/>
    <w:rsid w:val="003E2EEA"/>
    <w:rsid w:val="003E412F"/>
    <w:rsid w:val="003E4B1C"/>
    <w:rsid w:val="003F6108"/>
    <w:rsid w:val="003F6E1C"/>
    <w:rsid w:val="004003E3"/>
    <w:rsid w:val="00401CAA"/>
    <w:rsid w:val="00402F58"/>
    <w:rsid w:val="00403155"/>
    <w:rsid w:val="0041061A"/>
    <w:rsid w:val="004141FE"/>
    <w:rsid w:val="004169CD"/>
    <w:rsid w:val="004176A5"/>
    <w:rsid w:val="0043016A"/>
    <w:rsid w:val="004301B0"/>
    <w:rsid w:val="004318D6"/>
    <w:rsid w:val="00445395"/>
    <w:rsid w:val="00451821"/>
    <w:rsid w:val="00452AED"/>
    <w:rsid w:val="00455CD1"/>
    <w:rsid w:val="00461AF5"/>
    <w:rsid w:val="00466CDF"/>
    <w:rsid w:val="00467839"/>
    <w:rsid w:val="00473C38"/>
    <w:rsid w:val="00484AA3"/>
    <w:rsid w:val="00484CD7"/>
    <w:rsid w:val="004A4E86"/>
    <w:rsid w:val="004B1500"/>
    <w:rsid w:val="004B354B"/>
    <w:rsid w:val="004C12DC"/>
    <w:rsid w:val="004D3916"/>
    <w:rsid w:val="004D50B9"/>
    <w:rsid w:val="004D6D44"/>
    <w:rsid w:val="004E69DC"/>
    <w:rsid w:val="004F02A4"/>
    <w:rsid w:val="004F1480"/>
    <w:rsid w:val="004F24B8"/>
    <w:rsid w:val="004F4D94"/>
    <w:rsid w:val="005007DA"/>
    <w:rsid w:val="005159FE"/>
    <w:rsid w:val="00516D94"/>
    <w:rsid w:val="00523AAE"/>
    <w:rsid w:val="005308DF"/>
    <w:rsid w:val="0053317C"/>
    <w:rsid w:val="0053688F"/>
    <w:rsid w:val="005415CD"/>
    <w:rsid w:val="00544E31"/>
    <w:rsid w:val="00550BC0"/>
    <w:rsid w:val="00563B2D"/>
    <w:rsid w:val="005657F3"/>
    <w:rsid w:val="00566416"/>
    <w:rsid w:val="00570339"/>
    <w:rsid w:val="00575817"/>
    <w:rsid w:val="00577175"/>
    <w:rsid w:val="00583773"/>
    <w:rsid w:val="0058418F"/>
    <w:rsid w:val="00593A1F"/>
    <w:rsid w:val="00593D7A"/>
    <w:rsid w:val="00594869"/>
    <w:rsid w:val="00594A90"/>
    <w:rsid w:val="00595E3E"/>
    <w:rsid w:val="00596C35"/>
    <w:rsid w:val="005A2C56"/>
    <w:rsid w:val="005A5784"/>
    <w:rsid w:val="005B0001"/>
    <w:rsid w:val="005B3963"/>
    <w:rsid w:val="005B5966"/>
    <w:rsid w:val="005C7677"/>
    <w:rsid w:val="005C7F44"/>
    <w:rsid w:val="005D764E"/>
    <w:rsid w:val="005E2160"/>
    <w:rsid w:val="005E5753"/>
    <w:rsid w:val="005E692E"/>
    <w:rsid w:val="005F1822"/>
    <w:rsid w:val="005F5509"/>
    <w:rsid w:val="0060180C"/>
    <w:rsid w:val="0060510A"/>
    <w:rsid w:val="0060524F"/>
    <w:rsid w:val="006069F6"/>
    <w:rsid w:val="00613485"/>
    <w:rsid w:val="00621BDD"/>
    <w:rsid w:val="00625AF2"/>
    <w:rsid w:val="00637AB6"/>
    <w:rsid w:val="006414AB"/>
    <w:rsid w:val="00647BEF"/>
    <w:rsid w:val="006504E1"/>
    <w:rsid w:val="00650CBA"/>
    <w:rsid w:val="0065272D"/>
    <w:rsid w:val="006805A9"/>
    <w:rsid w:val="00684368"/>
    <w:rsid w:val="006976A0"/>
    <w:rsid w:val="006A04CE"/>
    <w:rsid w:val="006A13B6"/>
    <w:rsid w:val="006A1F97"/>
    <w:rsid w:val="006A2F72"/>
    <w:rsid w:val="006B1AA6"/>
    <w:rsid w:val="006C35F8"/>
    <w:rsid w:val="006C7C6B"/>
    <w:rsid w:val="006D61DF"/>
    <w:rsid w:val="006E21A2"/>
    <w:rsid w:val="006E3F46"/>
    <w:rsid w:val="006F2DA0"/>
    <w:rsid w:val="006F3A2B"/>
    <w:rsid w:val="006F4203"/>
    <w:rsid w:val="0070754C"/>
    <w:rsid w:val="007109BF"/>
    <w:rsid w:val="0071255E"/>
    <w:rsid w:val="00714BFE"/>
    <w:rsid w:val="00717B9F"/>
    <w:rsid w:val="00720F32"/>
    <w:rsid w:val="007277F7"/>
    <w:rsid w:val="00727BA8"/>
    <w:rsid w:val="00731861"/>
    <w:rsid w:val="0073480F"/>
    <w:rsid w:val="00735AF7"/>
    <w:rsid w:val="00736031"/>
    <w:rsid w:val="0074079A"/>
    <w:rsid w:val="00755C35"/>
    <w:rsid w:val="0075776A"/>
    <w:rsid w:val="007672FD"/>
    <w:rsid w:val="0077221D"/>
    <w:rsid w:val="00772E10"/>
    <w:rsid w:val="00774FDA"/>
    <w:rsid w:val="007754A4"/>
    <w:rsid w:val="00783D6C"/>
    <w:rsid w:val="007853FB"/>
    <w:rsid w:val="0078625D"/>
    <w:rsid w:val="00787421"/>
    <w:rsid w:val="00787F95"/>
    <w:rsid w:val="007936BF"/>
    <w:rsid w:val="007A36A9"/>
    <w:rsid w:val="007A565D"/>
    <w:rsid w:val="007B3957"/>
    <w:rsid w:val="007B5483"/>
    <w:rsid w:val="007B7293"/>
    <w:rsid w:val="007C1A30"/>
    <w:rsid w:val="007C1EE2"/>
    <w:rsid w:val="007C22B7"/>
    <w:rsid w:val="007C63AE"/>
    <w:rsid w:val="007D1119"/>
    <w:rsid w:val="007D261C"/>
    <w:rsid w:val="007D3BA4"/>
    <w:rsid w:val="007D5ED3"/>
    <w:rsid w:val="007E05C5"/>
    <w:rsid w:val="007E5822"/>
    <w:rsid w:val="007F25F7"/>
    <w:rsid w:val="007F7F60"/>
    <w:rsid w:val="008004AA"/>
    <w:rsid w:val="00801492"/>
    <w:rsid w:val="008046C2"/>
    <w:rsid w:val="008076B9"/>
    <w:rsid w:val="00811116"/>
    <w:rsid w:val="00812D8A"/>
    <w:rsid w:val="0081535B"/>
    <w:rsid w:val="00820453"/>
    <w:rsid w:val="0082140A"/>
    <w:rsid w:val="008214EA"/>
    <w:rsid w:val="00821A24"/>
    <w:rsid w:val="0083311D"/>
    <w:rsid w:val="00833BE4"/>
    <w:rsid w:val="00833C03"/>
    <w:rsid w:val="00834B6C"/>
    <w:rsid w:val="00836A83"/>
    <w:rsid w:val="0084226D"/>
    <w:rsid w:val="00845184"/>
    <w:rsid w:val="00850C26"/>
    <w:rsid w:val="00870BCC"/>
    <w:rsid w:val="00872DA6"/>
    <w:rsid w:val="008765BF"/>
    <w:rsid w:val="00884911"/>
    <w:rsid w:val="00884C43"/>
    <w:rsid w:val="00887F1C"/>
    <w:rsid w:val="008A23D2"/>
    <w:rsid w:val="008B3A6C"/>
    <w:rsid w:val="008B6656"/>
    <w:rsid w:val="008B74D4"/>
    <w:rsid w:val="008B7698"/>
    <w:rsid w:val="008C1368"/>
    <w:rsid w:val="008C2F66"/>
    <w:rsid w:val="008C318F"/>
    <w:rsid w:val="008C32CA"/>
    <w:rsid w:val="008D318B"/>
    <w:rsid w:val="008D6862"/>
    <w:rsid w:val="008E22B8"/>
    <w:rsid w:val="008E5F3C"/>
    <w:rsid w:val="008F0D4D"/>
    <w:rsid w:val="008F67CB"/>
    <w:rsid w:val="0090198B"/>
    <w:rsid w:val="009112F9"/>
    <w:rsid w:val="00911E8D"/>
    <w:rsid w:val="00913E69"/>
    <w:rsid w:val="00916B24"/>
    <w:rsid w:val="009178E2"/>
    <w:rsid w:val="00917A0A"/>
    <w:rsid w:val="00920DE3"/>
    <w:rsid w:val="00924394"/>
    <w:rsid w:val="00925926"/>
    <w:rsid w:val="00933779"/>
    <w:rsid w:val="00934A5A"/>
    <w:rsid w:val="00941864"/>
    <w:rsid w:val="00941F2E"/>
    <w:rsid w:val="00943837"/>
    <w:rsid w:val="0094639F"/>
    <w:rsid w:val="0094786F"/>
    <w:rsid w:val="00951ED4"/>
    <w:rsid w:val="00953578"/>
    <w:rsid w:val="00955979"/>
    <w:rsid w:val="009650E6"/>
    <w:rsid w:val="009652A5"/>
    <w:rsid w:val="009808E4"/>
    <w:rsid w:val="009848A8"/>
    <w:rsid w:val="00986E68"/>
    <w:rsid w:val="00992B60"/>
    <w:rsid w:val="00996B44"/>
    <w:rsid w:val="009C6A65"/>
    <w:rsid w:val="009D3465"/>
    <w:rsid w:val="009D4221"/>
    <w:rsid w:val="009D6A35"/>
    <w:rsid w:val="009E2D49"/>
    <w:rsid w:val="00A062EE"/>
    <w:rsid w:val="00A104D9"/>
    <w:rsid w:val="00A10682"/>
    <w:rsid w:val="00A106DD"/>
    <w:rsid w:val="00A114CF"/>
    <w:rsid w:val="00A22D9C"/>
    <w:rsid w:val="00A239C4"/>
    <w:rsid w:val="00A31A2E"/>
    <w:rsid w:val="00A404E9"/>
    <w:rsid w:val="00A40627"/>
    <w:rsid w:val="00A47AA3"/>
    <w:rsid w:val="00A50CF9"/>
    <w:rsid w:val="00A513D0"/>
    <w:rsid w:val="00A544A0"/>
    <w:rsid w:val="00A64D76"/>
    <w:rsid w:val="00A75C5B"/>
    <w:rsid w:val="00A77C3A"/>
    <w:rsid w:val="00A81189"/>
    <w:rsid w:val="00A86E6B"/>
    <w:rsid w:val="00A93CC4"/>
    <w:rsid w:val="00A94966"/>
    <w:rsid w:val="00A94A10"/>
    <w:rsid w:val="00A9508A"/>
    <w:rsid w:val="00AA25B4"/>
    <w:rsid w:val="00AA2A40"/>
    <w:rsid w:val="00AA2C35"/>
    <w:rsid w:val="00AB6D19"/>
    <w:rsid w:val="00AB788B"/>
    <w:rsid w:val="00AC2271"/>
    <w:rsid w:val="00AC31EC"/>
    <w:rsid w:val="00AD4474"/>
    <w:rsid w:val="00AD509E"/>
    <w:rsid w:val="00AD57FC"/>
    <w:rsid w:val="00AE5D0A"/>
    <w:rsid w:val="00AF3B00"/>
    <w:rsid w:val="00AF46C6"/>
    <w:rsid w:val="00AF6744"/>
    <w:rsid w:val="00AF7CE1"/>
    <w:rsid w:val="00B040C1"/>
    <w:rsid w:val="00B04C2D"/>
    <w:rsid w:val="00B06C80"/>
    <w:rsid w:val="00B1680F"/>
    <w:rsid w:val="00B173FD"/>
    <w:rsid w:val="00B22295"/>
    <w:rsid w:val="00B27B43"/>
    <w:rsid w:val="00B34010"/>
    <w:rsid w:val="00B362F9"/>
    <w:rsid w:val="00B3680C"/>
    <w:rsid w:val="00B3728F"/>
    <w:rsid w:val="00B41D11"/>
    <w:rsid w:val="00B41F19"/>
    <w:rsid w:val="00B4267A"/>
    <w:rsid w:val="00B42ED9"/>
    <w:rsid w:val="00B50518"/>
    <w:rsid w:val="00B61C98"/>
    <w:rsid w:val="00B62230"/>
    <w:rsid w:val="00B63542"/>
    <w:rsid w:val="00B66DF0"/>
    <w:rsid w:val="00B77A8F"/>
    <w:rsid w:val="00B80637"/>
    <w:rsid w:val="00B81216"/>
    <w:rsid w:val="00B817E5"/>
    <w:rsid w:val="00B87B73"/>
    <w:rsid w:val="00B908A4"/>
    <w:rsid w:val="00B920BE"/>
    <w:rsid w:val="00B92F66"/>
    <w:rsid w:val="00B941F9"/>
    <w:rsid w:val="00B96411"/>
    <w:rsid w:val="00B96E4D"/>
    <w:rsid w:val="00BA0096"/>
    <w:rsid w:val="00BB1990"/>
    <w:rsid w:val="00BB2BAC"/>
    <w:rsid w:val="00BB3CA4"/>
    <w:rsid w:val="00BB4B95"/>
    <w:rsid w:val="00BB565E"/>
    <w:rsid w:val="00BC378C"/>
    <w:rsid w:val="00BC39F0"/>
    <w:rsid w:val="00BC5CB0"/>
    <w:rsid w:val="00BC74E8"/>
    <w:rsid w:val="00BD53F1"/>
    <w:rsid w:val="00BD7C57"/>
    <w:rsid w:val="00BE6FEE"/>
    <w:rsid w:val="00BF1315"/>
    <w:rsid w:val="00BF2AAA"/>
    <w:rsid w:val="00BF45A0"/>
    <w:rsid w:val="00C040C4"/>
    <w:rsid w:val="00C056AE"/>
    <w:rsid w:val="00C05A78"/>
    <w:rsid w:val="00C06AE2"/>
    <w:rsid w:val="00C06EFD"/>
    <w:rsid w:val="00C10F73"/>
    <w:rsid w:val="00C136C7"/>
    <w:rsid w:val="00C16196"/>
    <w:rsid w:val="00C16509"/>
    <w:rsid w:val="00C26425"/>
    <w:rsid w:val="00C2676F"/>
    <w:rsid w:val="00C30BE4"/>
    <w:rsid w:val="00C3210A"/>
    <w:rsid w:val="00C332B6"/>
    <w:rsid w:val="00C3663D"/>
    <w:rsid w:val="00C36CAD"/>
    <w:rsid w:val="00C47EB4"/>
    <w:rsid w:val="00C53764"/>
    <w:rsid w:val="00C54217"/>
    <w:rsid w:val="00C55256"/>
    <w:rsid w:val="00C6056B"/>
    <w:rsid w:val="00C62B4F"/>
    <w:rsid w:val="00C66E55"/>
    <w:rsid w:val="00C72BDC"/>
    <w:rsid w:val="00C7556F"/>
    <w:rsid w:val="00C80A91"/>
    <w:rsid w:val="00C85F6B"/>
    <w:rsid w:val="00C93CC4"/>
    <w:rsid w:val="00C96976"/>
    <w:rsid w:val="00CA31C6"/>
    <w:rsid w:val="00CA47B3"/>
    <w:rsid w:val="00CA6199"/>
    <w:rsid w:val="00CA757D"/>
    <w:rsid w:val="00CB1EF7"/>
    <w:rsid w:val="00CB2259"/>
    <w:rsid w:val="00CB3A76"/>
    <w:rsid w:val="00CB73A3"/>
    <w:rsid w:val="00CC5FE5"/>
    <w:rsid w:val="00CC7C8A"/>
    <w:rsid w:val="00CD0135"/>
    <w:rsid w:val="00CD1735"/>
    <w:rsid w:val="00CD2DB5"/>
    <w:rsid w:val="00CD4AE8"/>
    <w:rsid w:val="00CE4E12"/>
    <w:rsid w:val="00CE7638"/>
    <w:rsid w:val="00CF09B9"/>
    <w:rsid w:val="00CF1FA4"/>
    <w:rsid w:val="00CF268D"/>
    <w:rsid w:val="00CF2F56"/>
    <w:rsid w:val="00CF4B1E"/>
    <w:rsid w:val="00CF6014"/>
    <w:rsid w:val="00CF71BD"/>
    <w:rsid w:val="00D002EA"/>
    <w:rsid w:val="00D00879"/>
    <w:rsid w:val="00D01E6C"/>
    <w:rsid w:val="00D11F8D"/>
    <w:rsid w:val="00D12B68"/>
    <w:rsid w:val="00D1471A"/>
    <w:rsid w:val="00D15E02"/>
    <w:rsid w:val="00D22AC7"/>
    <w:rsid w:val="00D257A1"/>
    <w:rsid w:val="00D26C4D"/>
    <w:rsid w:val="00D326B0"/>
    <w:rsid w:val="00D34C96"/>
    <w:rsid w:val="00D40AA5"/>
    <w:rsid w:val="00D47489"/>
    <w:rsid w:val="00D546DD"/>
    <w:rsid w:val="00D55DC1"/>
    <w:rsid w:val="00D6155E"/>
    <w:rsid w:val="00D664C9"/>
    <w:rsid w:val="00D7457C"/>
    <w:rsid w:val="00D82FB4"/>
    <w:rsid w:val="00D85522"/>
    <w:rsid w:val="00D908DD"/>
    <w:rsid w:val="00D94377"/>
    <w:rsid w:val="00D960D6"/>
    <w:rsid w:val="00D97C33"/>
    <w:rsid w:val="00DA2F0A"/>
    <w:rsid w:val="00DA39CE"/>
    <w:rsid w:val="00DB37D7"/>
    <w:rsid w:val="00DC4073"/>
    <w:rsid w:val="00DD21B1"/>
    <w:rsid w:val="00DD3DF6"/>
    <w:rsid w:val="00DD651D"/>
    <w:rsid w:val="00DD68E5"/>
    <w:rsid w:val="00DE69FF"/>
    <w:rsid w:val="00DF46D2"/>
    <w:rsid w:val="00DF5071"/>
    <w:rsid w:val="00DF69DA"/>
    <w:rsid w:val="00DF7CF5"/>
    <w:rsid w:val="00E0624C"/>
    <w:rsid w:val="00E10F35"/>
    <w:rsid w:val="00E132A1"/>
    <w:rsid w:val="00E14436"/>
    <w:rsid w:val="00E1732B"/>
    <w:rsid w:val="00E20B9E"/>
    <w:rsid w:val="00E224E8"/>
    <w:rsid w:val="00E4094E"/>
    <w:rsid w:val="00E448F9"/>
    <w:rsid w:val="00E464D1"/>
    <w:rsid w:val="00E46CB9"/>
    <w:rsid w:val="00E475BA"/>
    <w:rsid w:val="00E53D89"/>
    <w:rsid w:val="00E54832"/>
    <w:rsid w:val="00E55331"/>
    <w:rsid w:val="00E55C6A"/>
    <w:rsid w:val="00E73A98"/>
    <w:rsid w:val="00E8098E"/>
    <w:rsid w:val="00E904FA"/>
    <w:rsid w:val="00E91D52"/>
    <w:rsid w:val="00E9402F"/>
    <w:rsid w:val="00E957B9"/>
    <w:rsid w:val="00E959FB"/>
    <w:rsid w:val="00EA3D65"/>
    <w:rsid w:val="00EA5714"/>
    <w:rsid w:val="00EA5FFB"/>
    <w:rsid w:val="00EB2173"/>
    <w:rsid w:val="00EB5515"/>
    <w:rsid w:val="00ED0E54"/>
    <w:rsid w:val="00ED152D"/>
    <w:rsid w:val="00ED1FE9"/>
    <w:rsid w:val="00ED6075"/>
    <w:rsid w:val="00ED649C"/>
    <w:rsid w:val="00EE1117"/>
    <w:rsid w:val="00EE2289"/>
    <w:rsid w:val="00EE6AF1"/>
    <w:rsid w:val="00EF0B19"/>
    <w:rsid w:val="00EF52E8"/>
    <w:rsid w:val="00EF697A"/>
    <w:rsid w:val="00F00101"/>
    <w:rsid w:val="00F0052A"/>
    <w:rsid w:val="00F029A6"/>
    <w:rsid w:val="00F07172"/>
    <w:rsid w:val="00F0782C"/>
    <w:rsid w:val="00F108C1"/>
    <w:rsid w:val="00F10B2A"/>
    <w:rsid w:val="00F156F1"/>
    <w:rsid w:val="00F3011B"/>
    <w:rsid w:val="00F30737"/>
    <w:rsid w:val="00F31745"/>
    <w:rsid w:val="00F37D00"/>
    <w:rsid w:val="00F43DB5"/>
    <w:rsid w:val="00F5133A"/>
    <w:rsid w:val="00F531E3"/>
    <w:rsid w:val="00F552EE"/>
    <w:rsid w:val="00F5627F"/>
    <w:rsid w:val="00F601C6"/>
    <w:rsid w:val="00F6233D"/>
    <w:rsid w:val="00F6636F"/>
    <w:rsid w:val="00F71F67"/>
    <w:rsid w:val="00F76CFC"/>
    <w:rsid w:val="00F7718F"/>
    <w:rsid w:val="00F86168"/>
    <w:rsid w:val="00F869C2"/>
    <w:rsid w:val="00F95081"/>
    <w:rsid w:val="00F97115"/>
    <w:rsid w:val="00FA0B38"/>
    <w:rsid w:val="00FA0BA1"/>
    <w:rsid w:val="00FA1326"/>
    <w:rsid w:val="00FA132F"/>
    <w:rsid w:val="00FB2D68"/>
    <w:rsid w:val="00FB3EEF"/>
    <w:rsid w:val="00FB5FBF"/>
    <w:rsid w:val="00FB648B"/>
    <w:rsid w:val="00FB7AF1"/>
    <w:rsid w:val="00FC0093"/>
    <w:rsid w:val="00FD38D3"/>
    <w:rsid w:val="00FD4A86"/>
    <w:rsid w:val="00FD5069"/>
    <w:rsid w:val="00FE276C"/>
    <w:rsid w:val="00FE72AA"/>
    <w:rsid w:val="06E5655F"/>
    <w:rsid w:val="08EA97E2"/>
    <w:rsid w:val="1A22E19B"/>
    <w:rsid w:val="42ECAF24"/>
    <w:rsid w:val="433DF6E4"/>
    <w:rsid w:val="4541A738"/>
    <w:rsid w:val="54F28C61"/>
    <w:rsid w:val="571A5CD2"/>
    <w:rsid w:val="7879E159"/>
    <w:rsid w:val="7AEB67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A7CC"/>
  <w15:docId w15:val="{BCA8A54C-F20D-448D-99EE-9D11C9F0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link w:val="Titre7Car"/>
    <w:uiPriority w:val="1"/>
    <w:qFormat/>
    <w:rsid w:val="004D6D44"/>
    <w:pPr>
      <w:widowControl w:val="0"/>
      <w:autoSpaceDE w:val="0"/>
      <w:autoSpaceDN w:val="0"/>
      <w:spacing w:after="0" w:line="240" w:lineRule="auto"/>
      <w:ind w:left="337"/>
      <w:outlineLvl w:val="6"/>
    </w:pPr>
    <w:rPr>
      <w:rFonts w:ascii="Arial" w:eastAsia="Arial" w:hAnsi="Arial" w:cs="Arial"/>
      <w:b/>
      <w:bCs/>
      <w:kern w:val="0"/>
      <w:sz w:val="23"/>
      <w:szCs w:val="23"/>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F6744"/>
    <w:rPr>
      <w:sz w:val="16"/>
      <w:szCs w:val="16"/>
    </w:rPr>
  </w:style>
  <w:style w:type="paragraph" w:styleId="Paragraphedeliste">
    <w:name w:val="List Paragraph"/>
    <w:basedOn w:val="Normal"/>
    <w:uiPriority w:val="34"/>
    <w:qFormat/>
    <w:rsid w:val="0005237B"/>
    <w:pPr>
      <w:ind w:left="720"/>
      <w:contextualSpacing/>
    </w:pPr>
  </w:style>
  <w:style w:type="character" w:customStyle="1" w:styleId="rynqvb">
    <w:name w:val="rynqvb"/>
    <w:basedOn w:val="Policepardfaut"/>
    <w:rsid w:val="00DB37D7"/>
  </w:style>
  <w:style w:type="character" w:customStyle="1" w:styleId="hwtze">
    <w:name w:val="hwtze"/>
    <w:basedOn w:val="Policepardfaut"/>
    <w:rsid w:val="00B04C2D"/>
  </w:style>
  <w:style w:type="character" w:styleId="Lienhypertexte">
    <w:name w:val="Hyperlink"/>
    <w:basedOn w:val="Policepardfaut"/>
    <w:uiPriority w:val="99"/>
    <w:unhideWhenUsed/>
    <w:rsid w:val="00276DAE"/>
    <w:rPr>
      <w:color w:val="0563C1" w:themeColor="hyperlink"/>
      <w:u w:val="single"/>
    </w:rPr>
  </w:style>
  <w:style w:type="character" w:styleId="Mentionnonrsolue">
    <w:name w:val="Unresolved Mention"/>
    <w:basedOn w:val="Policepardfaut"/>
    <w:uiPriority w:val="99"/>
    <w:semiHidden/>
    <w:unhideWhenUsed/>
    <w:rsid w:val="00276DAE"/>
    <w:rPr>
      <w:color w:val="605E5C"/>
      <w:shd w:val="clear" w:color="auto" w:fill="E1DFDD"/>
    </w:rPr>
  </w:style>
  <w:style w:type="table" w:styleId="Grilledutableau">
    <w:name w:val="Table Grid"/>
    <w:basedOn w:val="TableauNormal"/>
    <w:uiPriority w:val="39"/>
    <w:rsid w:val="00CD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32CA"/>
    <w:pPr>
      <w:tabs>
        <w:tab w:val="center" w:pos="4680"/>
        <w:tab w:val="right" w:pos="9360"/>
      </w:tabs>
      <w:spacing w:after="0" w:line="240" w:lineRule="auto"/>
    </w:pPr>
  </w:style>
  <w:style w:type="character" w:customStyle="1" w:styleId="En-tteCar">
    <w:name w:val="En-tête Car"/>
    <w:basedOn w:val="Policepardfaut"/>
    <w:link w:val="En-tte"/>
    <w:uiPriority w:val="99"/>
    <w:rsid w:val="008C32CA"/>
  </w:style>
  <w:style w:type="paragraph" w:styleId="Pieddepage">
    <w:name w:val="footer"/>
    <w:basedOn w:val="Normal"/>
    <w:link w:val="PieddepageCar"/>
    <w:uiPriority w:val="99"/>
    <w:unhideWhenUsed/>
    <w:rsid w:val="008C32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C32CA"/>
  </w:style>
  <w:style w:type="character" w:customStyle="1" w:styleId="Titre7Car">
    <w:name w:val="Titre 7 Car"/>
    <w:basedOn w:val="Policepardfaut"/>
    <w:link w:val="Titre7"/>
    <w:uiPriority w:val="1"/>
    <w:rsid w:val="004D6D44"/>
    <w:rPr>
      <w:rFonts w:ascii="Arial" w:eastAsia="Arial" w:hAnsi="Arial" w:cs="Arial"/>
      <w:b/>
      <w:bCs/>
      <w:kern w:val="0"/>
      <w:sz w:val="23"/>
      <w:szCs w:val="23"/>
      <w14:ligatures w14:val="none"/>
    </w:rPr>
  </w:style>
  <w:style w:type="paragraph" w:styleId="Corpsdetexte">
    <w:name w:val="Body Text"/>
    <w:basedOn w:val="Normal"/>
    <w:link w:val="CorpsdetexteCar"/>
    <w:uiPriority w:val="1"/>
    <w:qFormat/>
    <w:rsid w:val="004D6D44"/>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CorpsdetexteCar">
    <w:name w:val="Corps de texte Car"/>
    <w:basedOn w:val="Policepardfaut"/>
    <w:link w:val="Corpsdetexte"/>
    <w:uiPriority w:val="1"/>
    <w:rsid w:val="004D6D44"/>
    <w:rPr>
      <w:rFonts w:ascii="Arial" w:eastAsia="Arial" w:hAnsi="Arial" w:cs="Arial"/>
      <w:kern w:val="0"/>
      <w:sz w:val="23"/>
      <w:szCs w:val="23"/>
      <w14:ligatures w14:val="none"/>
    </w:rPr>
  </w:style>
  <w:style w:type="paragraph" w:styleId="NormalWeb">
    <w:name w:val="Normal (Web)"/>
    <w:basedOn w:val="Normal"/>
    <w:uiPriority w:val="99"/>
    <w:semiHidden/>
    <w:unhideWhenUsed/>
    <w:rsid w:val="000D4A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customStyle="1" w:styleId="TableNormal1">
    <w:name w:val="Table Normal1"/>
    <w:uiPriority w:val="99"/>
    <w:semiHidden/>
    <w:unhideWhenUsed/>
    <w:rsid w:val="00C55256"/>
    <w:tblPr>
      <w:tblInd w:w="0" w:type="dxa"/>
      <w:tblCellMar>
        <w:top w:w="0" w:type="dxa"/>
        <w:left w:w="108" w:type="dxa"/>
        <w:bottom w:w="0" w:type="dxa"/>
        <w:right w:w="108" w:type="dxa"/>
      </w:tblCellMar>
    </w:tblPr>
  </w:style>
  <w:style w:type="paragraph" w:styleId="Commentaire">
    <w:name w:val="annotation text"/>
    <w:basedOn w:val="Normal"/>
    <w:link w:val="CommentaireCar"/>
    <w:uiPriority w:val="99"/>
    <w:unhideWhenUsed/>
    <w:rsid w:val="00AF6744"/>
    <w:pPr>
      <w:spacing w:line="240" w:lineRule="auto"/>
    </w:pPr>
    <w:rPr>
      <w:sz w:val="20"/>
      <w:szCs w:val="20"/>
    </w:rPr>
  </w:style>
  <w:style w:type="character" w:customStyle="1" w:styleId="CommentaireCar">
    <w:name w:val="Commentaire Car"/>
    <w:basedOn w:val="Policepardfaut"/>
    <w:link w:val="Commentaire"/>
    <w:uiPriority w:val="99"/>
    <w:rsid w:val="00AF6744"/>
    <w:rPr>
      <w:sz w:val="20"/>
      <w:szCs w:val="20"/>
    </w:rPr>
  </w:style>
  <w:style w:type="paragraph" w:styleId="Objetducommentaire">
    <w:name w:val="annotation subject"/>
    <w:basedOn w:val="Commentaire"/>
    <w:next w:val="Commentaire"/>
    <w:link w:val="ObjetducommentaireCar"/>
    <w:uiPriority w:val="99"/>
    <w:semiHidden/>
    <w:unhideWhenUsed/>
    <w:rsid w:val="00AF6744"/>
    <w:rPr>
      <w:b/>
      <w:bCs/>
    </w:rPr>
  </w:style>
  <w:style w:type="character" w:customStyle="1" w:styleId="ObjetducommentaireCar">
    <w:name w:val="Objet du commentaire Car"/>
    <w:basedOn w:val="CommentaireCar"/>
    <w:link w:val="Objetducommentaire"/>
    <w:uiPriority w:val="99"/>
    <w:semiHidden/>
    <w:rsid w:val="00AF6744"/>
    <w:rPr>
      <w:b/>
      <w:bCs/>
      <w:sz w:val="20"/>
      <w:szCs w:val="20"/>
    </w:rPr>
  </w:style>
  <w:style w:type="paragraph" w:styleId="Rvision">
    <w:name w:val="Revision"/>
    <w:hidden/>
    <w:uiPriority w:val="99"/>
    <w:semiHidden/>
    <w:rsid w:val="00845184"/>
    <w:pPr>
      <w:spacing w:after="0" w:line="240" w:lineRule="auto"/>
    </w:pPr>
  </w:style>
  <w:style w:type="character" w:styleId="Lienhypertextesuivivisit">
    <w:name w:val="FollowedHyperlink"/>
    <w:basedOn w:val="Policepardfaut"/>
    <w:uiPriority w:val="99"/>
    <w:semiHidden/>
    <w:unhideWhenUsed/>
    <w:rsid w:val="00C47E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668">
      <w:bodyDiv w:val="1"/>
      <w:marLeft w:val="0"/>
      <w:marRight w:val="0"/>
      <w:marTop w:val="0"/>
      <w:marBottom w:val="0"/>
      <w:divBdr>
        <w:top w:val="none" w:sz="0" w:space="0" w:color="auto"/>
        <w:left w:val="none" w:sz="0" w:space="0" w:color="auto"/>
        <w:bottom w:val="none" w:sz="0" w:space="0" w:color="auto"/>
        <w:right w:val="none" w:sz="0" w:space="0" w:color="auto"/>
      </w:divBdr>
    </w:div>
    <w:div w:id="518083891">
      <w:bodyDiv w:val="1"/>
      <w:marLeft w:val="0"/>
      <w:marRight w:val="0"/>
      <w:marTop w:val="0"/>
      <w:marBottom w:val="0"/>
      <w:divBdr>
        <w:top w:val="none" w:sz="0" w:space="0" w:color="auto"/>
        <w:left w:val="none" w:sz="0" w:space="0" w:color="auto"/>
        <w:bottom w:val="none" w:sz="0" w:space="0" w:color="auto"/>
        <w:right w:val="none" w:sz="0" w:space="0" w:color="auto"/>
      </w:divBdr>
    </w:div>
    <w:div w:id="1110591749">
      <w:bodyDiv w:val="1"/>
      <w:marLeft w:val="0"/>
      <w:marRight w:val="0"/>
      <w:marTop w:val="0"/>
      <w:marBottom w:val="0"/>
      <w:divBdr>
        <w:top w:val="none" w:sz="0" w:space="0" w:color="auto"/>
        <w:left w:val="none" w:sz="0" w:space="0" w:color="auto"/>
        <w:bottom w:val="none" w:sz="0" w:space="0" w:color="auto"/>
        <w:right w:val="none" w:sz="0" w:space="0" w:color="auto"/>
      </w:divBdr>
    </w:div>
    <w:div w:id="1162427855">
      <w:bodyDiv w:val="1"/>
      <w:marLeft w:val="0"/>
      <w:marRight w:val="0"/>
      <w:marTop w:val="0"/>
      <w:marBottom w:val="0"/>
      <w:divBdr>
        <w:top w:val="none" w:sz="0" w:space="0" w:color="auto"/>
        <w:left w:val="none" w:sz="0" w:space="0" w:color="auto"/>
        <w:bottom w:val="none" w:sz="0" w:space="0" w:color="auto"/>
        <w:right w:val="none" w:sz="0" w:space="0" w:color="auto"/>
      </w:divBdr>
      <w:divsChild>
        <w:div w:id="1999114209">
          <w:marLeft w:val="0"/>
          <w:marRight w:val="0"/>
          <w:marTop w:val="0"/>
          <w:marBottom w:val="0"/>
          <w:divBdr>
            <w:top w:val="none" w:sz="0" w:space="0" w:color="auto"/>
            <w:left w:val="none" w:sz="0" w:space="0" w:color="auto"/>
            <w:bottom w:val="none" w:sz="0" w:space="0" w:color="auto"/>
            <w:right w:val="none" w:sz="0" w:space="0" w:color="auto"/>
          </w:divBdr>
        </w:div>
      </w:divsChild>
    </w:div>
    <w:div w:id="180526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f.org/wp-content/uploads/2017/03/140219_CARTEAUF.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orwardmena.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seeds@au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d53ad074d2b3c78d182a31e5be8625e1">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6f7d82415f136e809f01cb44c1b7bdb"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58066-94F8-4363-BC74-75BDE012A691}">
  <ds:schemaRefs>
    <ds:schemaRef ds:uri="http://schemas.microsoft.com/sharepoint/v3/contenttype/forms"/>
  </ds:schemaRefs>
</ds:datastoreItem>
</file>

<file path=customXml/itemProps2.xml><?xml version="1.0" encoding="utf-8"?>
<ds:datastoreItem xmlns:ds="http://schemas.openxmlformats.org/officeDocument/2006/customXml" ds:itemID="{2714E671-F0FE-4B66-B0CF-8EC60FC4F897}">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E2BE5AF5-18F4-40BE-AFC5-819EB98E5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1778</Words>
  <Characters>9782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11537</CharactersWithSpaces>
  <SharedDoc>false</SharedDoc>
  <HLinks>
    <vt:vector size="12" baseType="variant">
      <vt:variant>
        <vt:i4>6094967</vt:i4>
      </vt:variant>
      <vt:variant>
        <vt:i4>3</vt:i4>
      </vt:variant>
      <vt:variant>
        <vt:i4>0</vt:i4>
      </vt:variant>
      <vt:variant>
        <vt:i4>5</vt:i4>
      </vt:variant>
      <vt:variant>
        <vt:lpwstr>https://www.auf.org/wp-content/uploads/2017/03/140219_CARTEAUF.pdf</vt:lpwstr>
      </vt:variant>
      <vt:variant>
        <vt:lpwstr/>
      </vt:variant>
      <vt:variant>
        <vt:i4>7143511</vt:i4>
      </vt:variant>
      <vt:variant>
        <vt:i4>0</vt:i4>
      </vt:variant>
      <vt:variant>
        <vt:i4>0</vt:i4>
      </vt:variant>
      <vt:variant>
        <vt:i4>5</vt:i4>
      </vt:variant>
      <vt:variant>
        <vt:lpwstr>mailto:euseeds@auf.org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ZAAROUR</dc:creator>
  <cp:keywords/>
  <dc:description/>
  <cp:lastModifiedBy>Joelle Riachi</cp:lastModifiedBy>
  <cp:revision>10</cp:revision>
  <dcterms:created xsi:type="dcterms:W3CDTF">2025-12-09T08:22:00Z</dcterms:created>
  <dcterms:modified xsi:type="dcterms:W3CDTF">2025-12-10T08:07:00Z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